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方正小标宋简体" w:hAnsi="方正小标宋简体" w:eastAsia="方正小标宋简体" w:cs="方正小标宋简体"/>
          <w:b w:val="0"/>
          <w:bCs w:val="0"/>
          <w:color w:val="auto"/>
          <w:sz w:val="44"/>
          <w:szCs w:val="44"/>
          <w:u w:val="none" w:color="auto"/>
        </w:rPr>
      </w:pPr>
      <w:r>
        <w:rPr>
          <w:rFonts w:hint="eastAsia" w:ascii="方正小标宋简体" w:hAnsi="方正小标宋简体" w:eastAsia="方正小标宋简体" w:cs="方正小标宋简体"/>
          <w:b w:val="0"/>
          <w:bCs w:val="0"/>
          <w:color w:val="auto"/>
          <w:sz w:val="44"/>
          <w:szCs w:val="44"/>
          <w:u w:val="none" w:color="auto"/>
        </w:rPr>
        <w:t>国家发展改革委办公厅关于进一步做好《必须招标的工程项目规定》和《必须招标的基础设施和公用事业项目范围规定》实施工作的通知</w:t>
      </w:r>
    </w:p>
    <w:p>
      <w:pPr>
        <w:keepLines w:val="0"/>
        <w:pageBreakBefore w:val="0"/>
        <w:widowControl w:val="0"/>
        <w:kinsoku/>
        <w:wordWrap/>
        <w:overflowPunct/>
        <w:topLinePunct w:val="0"/>
        <w:autoSpaceDE/>
        <w:autoSpaceDN/>
        <w:bidi w:val="0"/>
        <w:adjustRightInd/>
        <w:snapToGrid/>
        <w:spacing w:after="0" w:line="576" w:lineRule="exact"/>
        <w:ind w:right="0"/>
        <w:jc w:val="center"/>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发改办法规〔2020〕770 号</w:t>
      </w:r>
    </w:p>
    <w:p>
      <w:pPr>
        <w:keepLines w:val="0"/>
        <w:pageBreakBefore w:val="0"/>
        <w:widowControl w:val="0"/>
        <w:kinsoku/>
        <w:wordWrap/>
        <w:overflowPunct/>
        <w:topLinePunct w:val="0"/>
        <w:autoSpaceDE/>
        <w:autoSpaceDN/>
        <w:bidi w:val="0"/>
        <w:adjustRightInd/>
        <w:snapToGrid/>
        <w:spacing w:after="0" w:line="576" w:lineRule="exact"/>
        <w:ind w:right="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 xml:space="preserve">各省、自治区、直辖市、新疆生产建设兵团发展改革委、公共资源交易平台整合牵头部门：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 xml:space="preserve">为加强政策指导，进一步做好《必须招标的工程项目规定》（国家发展改革委2018年第16号令，以下简称“16号令”）和《必须招标的基础设施和公用事业项目范围规定》（发改法规规〔2018〕843 号，以下简称“843号文”）实施工作，现就有关事项通知如下: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 xml:space="preserve">一、准确理解依法必须招标的工程建设项目范围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（一）</w:t>
      </w:r>
      <w:r>
        <w:rPr>
          <w:rFonts w:hint="eastAsia" w:ascii="宋体" w:hAnsi="宋体" w:eastAsia="宋体" w:cs="宋体"/>
          <w:color w:val="auto"/>
          <w:sz w:val="28"/>
          <w:szCs w:val="28"/>
          <w:u w:val="none" w:color="auto"/>
        </w:rPr>
        <w:t xml:space="preserve">关于使用国有资金的项目。16号令第二条第（一）项中“预算资金”，是指《预算法》规定的预算资金，包括一般公共预算资金、政府性基金预算资金、国有资本经营预算资金、社会保险基金预算资金。第（二）项中“占控股或者主导地位”，参照《公司法》第二百一十六条关于控股股东和实际控制人的理解执行，即“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国有企业事业单位通过投资关系、协议或者其他安排，能够实际支配项目建设的，也属于占控股或者主导地位。项目中国有资金的比例，应当按照项目资金来源中所有国有资金之和计算。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（二）</w:t>
      </w:r>
      <w:r>
        <w:rPr>
          <w:rFonts w:hint="eastAsia" w:ascii="宋体" w:hAnsi="宋体" w:eastAsia="宋体" w:cs="宋体"/>
          <w:color w:val="auto"/>
          <w:sz w:val="28"/>
          <w:szCs w:val="28"/>
          <w:u w:val="none" w:color="auto"/>
        </w:rPr>
        <w:t xml:space="preserve">关于项目与单项采购的关系。16 号令第二条至第四条及 843 号文第二条规定范围的项目，其勘察、设计、施工、监理以及与工程建设有关的重要设备、材料等的单项采购分别达到 16 号令第五条规定的相应单项合同价估算标准的，该单项采购必须招标；该项目中未达到前述相应标准的单项采购，不属于 16 号令规定的必须招标范畴。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（三）</w:t>
      </w:r>
      <w:r>
        <w:rPr>
          <w:rFonts w:hint="eastAsia" w:ascii="宋体" w:hAnsi="宋体" w:eastAsia="宋体" w:cs="宋体"/>
          <w:color w:val="auto"/>
          <w:sz w:val="28"/>
          <w:szCs w:val="28"/>
          <w:u w:val="none" w:color="auto"/>
        </w:rPr>
        <w:t xml:space="preserve">关于招标范围列举事项。依法必须招标的工程建设项目范围和规模标准，应当严格执行《招标投标法》第三条和 16 号令、843 号文规定；法律、行政法规或者国务院对必须进行招标的其他项目范围有规定的，依照其规定。没有法律、行政法规或者国务院规定依据的，对 16 号令第五条第一款第（三）项中没有明确列举规定的服务事项、843 号文第二条中没有明确列举规定的项目，不得强制要求招标。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（四）</w:t>
      </w:r>
      <w:r>
        <w:rPr>
          <w:rFonts w:hint="eastAsia" w:ascii="宋体" w:hAnsi="宋体" w:eastAsia="宋体" w:cs="宋体"/>
          <w:color w:val="auto"/>
          <w:sz w:val="28"/>
          <w:szCs w:val="28"/>
          <w:u w:val="none" w:color="auto"/>
        </w:rPr>
        <w:t xml:space="preserve">关于同一项目中的合并采购。16 号令第五条规定的“同一项目中可以合并进行的勘察、设计、施工、监理以及与工程建设有关的重要设备、材料等的采购，合同估算价合计达到前款规定标准的，必须招标”，目的是防止发包方通过化整为零方式规避招标。其中“同一项目中可以合并进行”，是指根据项目实际，以及行业标准或行业惯例，符合科学性、经济性、可操作性要求，同一项目中适宜放在一起进行采购的同类采购项目。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（五）</w:t>
      </w:r>
      <w:r>
        <w:rPr>
          <w:rFonts w:hint="eastAsia" w:ascii="宋体" w:hAnsi="宋体" w:eastAsia="宋体" w:cs="宋体"/>
          <w:color w:val="auto"/>
          <w:sz w:val="28"/>
          <w:szCs w:val="28"/>
          <w:u w:val="none" w:color="auto"/>
        </w:rPr>
        <w:t xml:space="preserve">关于总承包招标的规模标准。对于 16 号令第二条至第四条规定范围内的项目，发包人依法对工程以及与工程建设有关的货物、服务全部或者部分实行总承包发包的，总承包中施工、货物、服务等各部分的估算价中，只要有一项达到 16 号令第五条规定相应标准，即施工部分估算价达到 400 万元以上，或者货物部分达到 200 万元以上，或者服务部分达到100 万元以上，则整个总承包发包应当招标。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二、</w:t>
      </w:r>
      <w:r>
        <w:rPr>
          <w:rFonts w:hint="eastAsia" w:ascii="宋体" w:hAnsi="宋体" w:eastAsia="宋体" w:cs="宋体"/>
          <w:color w:val="auto"/>
          <w:sz w:val="28"/>
          <w:szCs w:val="28"/>
          <w:u w:val="none" w:color="auto"/>
        </w:rPr>
        <w:t xml:space="preserve">规范规模标准以下工程建设项目的采购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 xml:space="preserve">16号令第二条至第四条及843号文第二条规定范围的项目，其施工、货物、服务采购的单项合同估算价未达到16号令第五条规定规模标准的，该单项采购由采购人依法自主选择采购方式，任何单位和个人不得违法干涉；其中，涉及政府采购的，按照政府采购法律法规规定执行。国有企业可以结合实际，建立健全规模标准以下工程建设项目采购制度，推进采购活动公开透明。 </w:t>
      </w:r>
    </w:p>
    <w:p>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eastAsia="zh-CN"/>
        </w:rPr>
        <w:t>三、</w:t>
      </w:r>
      <w:r>
        <w:rPr>
          <w:rFonts w:hint="eastAsia" w:ascii="宋体" w:hAnsi="宋体" w:eastAsia="宋体" w:cs="宋体"/>
          <w:color w:val="auto"/>
          <w:sz w:val="28"/>
          <w:szCs w:val="28"/>
          <w:u w:val="none" w:color="auto"/>
        </w:rPr>
        <w:t xml:space="preserve">严格执行依法必须招标制度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各地方应当严格执行16号令和843号文规定的范围和规模标准，不得另行制定必须进行招标的范围和规模标准，也不得作出与16号令、843号文和本通知相抵触的规定，持续深化招标投标领域“放管服”改革，努力营造良好市场环境。</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4200" w:firstLineChars="1500"/>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rPr>
        <w:t xml:space="preserve">国家发展改革委办公厅 </w:t>
      </w:r>
    </w:p>
    <w:p>
      <w:pPr>
        <w:keepNext w:val="0"/>
        <w:keepLines w:val="0"/>
        <w:pageBreakBefore w:val="0"/>
        <w:widowControl w:val="0"/>
        <w:kinsoku/>
        <w:wordWrap/>
        <w:overflowPunct/>
        <w:topLinePunct w:val="0"/>
        <w:autoSpaceDE/>
        <w:autoSpaceDN/>
        <w:bidi w:val="0"/>
        <w:adjustRightInd/>
        <w:snapToGrid/>
        <w:spacing w:after="0" w:line="576" w:lineRule="exact"/>
        <w:ind w:left="0" w:leftChars="0" w:right="0" w:firstLine="560" w:firstLineChars="200"/>
        <w:jc w:val="center"/>
        <w:textAlignment w:val="auto"/>
        <w:rPr>
          <w:rFonts w:hint="eastAsia" w:ascii="宋体" w:hAnsi="宋体" w:eastAsia="宋体" w:cs="宋体"/>
          <w:color w:val="auto"/>
          <w:sz w:val="28"/>
          <w:szCs w:val="28"/>
          <w:u w:val="none" w:color="auto"/>
        </w:rPr>
      </w:pPr>
      <w:r>
        <w:rPr>
          <w:rFonts w:hint="eastAsia" w:ascii="宋体" w:hAnsi="宋体" w:eastAsia="宋体" w:cs="宋体"/>
          <w:color w:val="auto"/>
          <w:sz w:val="28"/>
          <w:szCs w:val="28"/>
          <w:u w:val="none" w:color="auto"/>
          <w:lang w:val="en-US" w:eastAsia="zh-CN"/>
        </w:rPr>
        <w:t xml:space="preserve">                    </w:t>
      </w:r>
      <w:r>
        <w:rPr>
          <w:rFonts w:hint="eastAsia" w:ascii="宋体" w:hAnsi="宋体" w:eastAsia="宋体" w:cs="宋体"/>
          <w:color w:val="auto"/>
          <w:sz w:val="28"/>
          <w:szCs w:val="28"/>
          <w:u w:val="none" w:color="auto"/>
        </w:rPr>
        <w:t xml:space="preserve">2020年10月19日 </w:t>
      </w: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5" w:lineRule="auto"/>
      </w:pPr>
      <w:r>
        <w:separator/>
      </w:r>
    </w:p>
  </w:footnote>
  <w:footnote w:type="continuationSeparator" w:id="1">
    <w:p>
      <w:pPr>
        <w:spacing w:before="0" w:after="0" w:line="33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jA5NmZjYzhlZTc1YTg4ZDI2YzdjMDg3NzMyY2YifQ=="/>
  </w:docVars>
  <w:rsids>
    <w:rsidRoot w:val="1EF11AC3"/>
    <w:rsid w:val="026447F9"/>
    <w:rsid w:val="1EF1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5" w:lineRule="auto"/>
      <w:ind w:left="10" w:right="93" w:hanging="10"/>
    </w:pPr>
    <w:rPr>
      <w:rFonts w:ascii="微软雅黑" w:hAnsi="微软雅黑" w:eastAsia="微软雅黑" w:cs="微软雅黑"/>
      <w:color w:val="000000"/>
      <w:kern w:val="2"/>
      <w:sz w:val="34"/>
      <w:szCs w:val="22"/>
      <w:lang w:val="en-US" w:eastAsia="zh-CN" w:bidi="ar-SA"/>
    </w:rPr>
  </w:style>
  <w:style w:type="paragraph" w:styleId="2">
    <w:name w:val="heading 3"/>
    <w:next w:val="1"/>
    <w:unhideWhenUsed/>
    <w:qFormat/>
    <w:uiPriority w:val="9"/>
    <w:pPr>
      <w:keepNext/>
      <w:keepLines/>
      <w:spacing w:after="4" w:line="255" w:lineRule="auto"/>
      <w:ind w:left="10" w:right="431" w:hanging="10"/>
      <w:outlineLvl w:val="2"/>
    </w:pPr>
    <w:rPr>
      <w:rFonts w:ascii="微软雅黑" w:hAnsi="微软雅黑" w:eastAsia="微软雅黑" w:cs="微软雅黑"/>
      <w:color w:val="000000"/>
      <w:kern w:val="2"/>
      <w:sz w:val="4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2023-08-01T07:46:00Z</dcterms:created>
  <dc:creator>ʚ  ɞ</dc:creator>
  <cp:lastModifiedBy>WPS_1505371123</cp:lastModifiedBy>
  <dcterms:modified xsi:type="dcterms:W3CDTF">2023-08-03T07:03:24Z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F8581A2B1E5742AA85E7A58319CC54B3_11</vt:lpwstr>
  </property>
</Properties>
</file>