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52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52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52"/>
          <w:lang w:val="en-US" w:eastAsia="zh-CN"/>
        </w:rPr>
        <w:t>远程异地开标操作手册（投标人）</w:t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/>
          <w:bCs/>
          <w:sz w:val="44"/>
          <w:szCs w:val="52"/>
          <w:lang w:val="en-US" w:eastAsia="zh-CN"/>
        </w:rPr>
      </w:pPr>
    </w:p>
    <w:sdt>
      <w:sdtPr>
        <w:rPr>
          <w:rFonts w:hint="eastAsia" w:ascii="仿宋" w:hAnsi="仿宋" w:eastAsia="仿宋" w:cs="仿宋"/>
          <w:kern w:val="2"/>
          <w:sz w:val="21"/>
          <w:szCs w:val="24"/>
          <w:lang w:val="en-US" w:eastAsia="zh-CN" w:bidi="ar-SA"/>
        </w:rPr>
        <w:id w:val="147455555"/>
        <w15:color w:val="DBDBDB"/>
        <w:docPartObj>
          <w:docPartGallery w:val="Table of Contents"/>
          <w:docPartUnique/>
        </w:docPartObj>
      </w:sdtPr>
      <w:sdtEndPr>
        <w:rPr>
          <w:rFonts w:hint="eastAsia" w:ascii="仿宋" w:hAnsi="仿宋" w:eastAsia="仿宋" w:cs="仿宋"/>
          <w:b/>
          <w:kern w:val="2"/>
          <w:sz w:val="21"/>
          <w:szCs w:val="24"/>
          <w:lang w:val="en-US" w:eastAsia="zh-CN" w:bidi="ar-SA"/>
        </w:rPr>
      </w:sdtEndPr>
      <w:sdtContent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="仿宋" w:hAnsi="仿宋" w:eastAsia="仿宋" w:cs="仿宋"/>
              <w:kern w:val="2"/>
              <w:sz w:val="21"/>
              <w:szCs w:val="24"/>
              <w:lang w:val="en-US" w:eastAsia="zh-CN" w:bidi="ar-SA"/>
            </w:rPr>
          </w:pPr>
        </w:p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="仿宋" w:hAnsi="仿宋" w:eastAsia="仿宋" w:cs="仿宋"/>
              <w:kern w:val="2"/>
              <w:sz w:val="21"/>
              <w:szCs w:val="24"/>
              <w:lang w:val="en-US" w:eastAsia="zh-CN" w:bidi="ar-SA"/>
            </w:rPr>
          </w:pPr>
        </w:p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="仿宋" w:hAnsi="仿宋" w:eastAsia="仿宋" w:cs="仿宋"/>
              <w:sz w:val="32"/>
              <w:szCs w:val="32"/>
            </w:rPr>
          </w:pPr>
          <w:r>
            <w:rPr>
              <w:rFonts w:hint="eastAsia" w:ascii="仿宋" w:hAnsi="仿宋" w:eastAsia="仿宋" w:cs="仿宋"/>
              <w:sz w:val="32"/>
              <w:szCs w:val="32"/>
            </w:rPr>
            <w:t>目录</w:t>
          </w: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  <w:sz w:val="32"/>
              <w:szCs w:val="32"/>
            </w:rPr>
          </w:pPr>
          <w:r>
            <w:rPr>
              <w:rFonts w:hint="eastAsia" w:ascii="仿宋" w:hAnsi="仿宋" w:eastAsia="仿宋" w:cs="仿宋"/>
            </w:rPr>
            <w:fldChar w:fldCharType="begin"/>
          </w:r>
          <w:r>
            <w:rPr>
              <w:rFonts w:hint="eastAsia" w:ascii="仿宋" w:hAnsi="仿宋" w:eastAsia="仿宋" w:cs="仿宋"/>
            </w:rPr>
            <w:instrText xml:space="preserve">TOC \o "1-2" \h \u </w:instrText>
          </w:r>
          <w:r>
            <w:rPr>
              <w:rFonts w:hint="eastAsia" w:ascii="仿宋" w:hAnsi="仿宋" w:eastAsia="仿宋" w:cs="仿宋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HYPERLINK \l _Toc18236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  <w:lang w:val="en-US" w:eastAsia="zh-CN"/>
            </w:rPr>
            <w:t>一、 开标前准备工作：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ab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PAGEREF _Toc18236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>2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</w:p>
        <w:p>
          <w:pPr>
            <w:pStyle w:val="16"/>
            <w:tabs>
              <w:tab w:val="right" w:leader="dot" w:pos="10466"/>
            </w:tabs>
            <w:rPr>
              <w:rFonts w:hint="eastAsia" w:ascii="仿宋" w:hAnsi="仿宋" w:eastAsia="仿宋" w:cs="仿宋"/>
              <w:sz w:val="28"/>
              <w:szCs w:val="28"/>
            </w:rPr>
          </w:pP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HYPERLINK \l _Toc20579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  <w:lang w:val="en-US" w:eastAsia="zh-CN"/>
            </w:rPr>
            <w:t>1、 电脑配置要求:</w:t>
          </w:r>
          <w:r>
            <w:rPr>
              <w:rFonts w:hint="eastAsia" w:ascii="仿宋" w:hAnsi="仿宋" w:eastAsia="仿宋" w:cs="仿宋"/>
              <w:sz w:val="28"/>
              <w:szCs w:val="28"/>
            </w:rPr>
            <w:tab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PAGEREF _Toc20579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</w:rPr>
            <w:t>2</w: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</w:p>
        <w:p>
          <w:pPr>
            <w:pStyle w:val="16"/>
            <w:tabs>
              <w:tab w:val="right" w:leader="dot" w:pos="10466"/>
            </w:tabs>
            <w:rPr>
              <w:rFonts w:hint="eastAsia" w:ascii="仿宋" w:hAnsi="仿宋" w:eastAsia="仿宋" w:cs="仿宋"/>
              <w:sz w:val="28"/>
              <w:szCs w:val="28"/>
            </w:rPr>
          </w:pP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HYPERLINK \l _Toc23673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  <w:lang w:val="en-US" w:eastAsia="zh-CN"/>
            </w:rPr>
            <w:t>2、 CA驱动安装:</w:t>
          </w:r>
          <w:r>
            <w:rPr>
              <w:rFonts w:hint="eastAsia" w:ascii="仿宋" w:hAnsi="仿宋" w:eastAsia="仿宋" w:cs="仿宋"/>
              <w:sz w:val="28"/>
              <w:szCs w:val="28"/>
            </w:rPr>
            <w:tab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PAGEREF _Toc23673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</w:rPr>
            <w:t>2</w: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</w:p>
        <w:p>
          <w:pPr>
            <w:pStyle w:val="16"/>
            <w:tabs>
              <w:tab w:val="right" w:leader="dot" w:pos="10466"/>
            </w:tabs>
            <w:rPr>
              <w:rFonts w:hint="eastAsia" w:ascii="仿宋" w:hAnsi="仿宋" w:eastAsia="仿宋" w:cs="仿宋"/>
            </w:rPr>
          </w:pP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HYPERLINK \l _Toc10313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  <w:lang w:val="en-US" w:eastAsia="zh-CN"/>
            </w:rPr>
            <w:t>3、 IE浏览器设置:</w:t>
          </w:r>
          <w:r>
            <w:rPr>
              <w:rFonts w:hint="eastAsia" w:ascii="仿宋" w:hAnsi="仿宋" w:eastAsia="仿宋" w:cs="仿宋"/>
              <w:sz w:val="28"/>
              <w:szCs w:val="28"/>
            </w:rPr>
            <w:tab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begin"/>
          </w:r>
          <w:r>
            <w:rPr>
              <w:rFonts w:hint="eastAsia" w:ascii="仿宋" w:hAnsi="仿宋" w:eastAsia="仿宋" w:cs="仿宋"/>
              <w:sz w:val="28"/>
              <w:szCs w:val="28"/>
            </w:rPr>
            <w:instrText xml:space="preserve"> PAGEREF _Toc10313 </w:instrTex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separate"/>
          </w:r>
          <w:r>
            <w:rPr>
              <w:rFonts w:hint="eastAsia" w:ascii="仿宋" w:hAnsi="仿宋" w:eastAsia="仿宋" w:cs="仿宋"/>
              <w:sz w:val="28"/>
              <w:szCs w:val="28"/>
            </w:rPr>
            <w:t>3</w:t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  <w:r>
            <w:rPr>
              <w:rFonts w:hint="eastAsia" w:ascii="仿宋" w:hAnsi="仿宋" w:eastAsia="仿宋" w:cs="仿宋"/>
              <w:sz w:val="28"/>
              <w:szCs w:val="28"/>
            </w:rPr>
            <w:fldChar w:fldCharType="end"/>
          </w: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  <w:sz w:val="32"/>
              <w:szCs w:val="32"/>
            </w:rPr>
          </w:pP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HYPERLINK \l _Toc146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  <w:lang w:val="en-US" w:eastAsia="zh-CN"/>
            </w:rPr>
            <w:t>二、登录不见面开标系统：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ab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PAGEREF _Toc146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>6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  <w:sz w:val="32"/>
              <w:szCs w:val="32"/>
            </w:rPr>
          </w:pP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HYPERLINK \l _Toc24763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  <w:lang w:val="en-US" w:eastAsia="zh-CN"/>
            </w:rPr>
            <w:t>三、进入项目及投标文件解密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ab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begin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instrText xml:space="preserve"> PAGEREF _Toc24763 </w:instrTex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separate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t>8</w:t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  <w:r>
            <w:rPr>
              <w:rFonts w:hint="eastAsia" w:ascii="仿宋" w:hAnsi="仿宋" w:eastAsia="仿宋" w:cs="仿宋"/>
              <w:b/>
              <w:sz w:val="32"/>
              <w:szCs w:val="32"/>
            </w:rPr>
            <w:fldChar w:fldCharType="end"/>
          </w: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  <w:sz w:val="32"/>
              <w:szCs w:val="32"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  <w:sz w:val="32"/>
              <w:szCs w:val="32"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pStyle w:val="15"/>
            <w:tabs>
              <w:tab w:val="right" w:leader="dot" w:pos="10466"/>
            </w:tabs>
            <w:rPr>
              <w:rFonts w:hint="eastAsia" w:ascii="仿宋" w:hAnsi="仿宋" w:eastAsia="仿宋" w:cs="仿宋"/>
              <w:b/>
            </w:rPr>
          </w:pPr>
        </w:p>
        <w:p>
          <w:pPr>
            <w:rPr>
              <w:rFonts w:hint="eastAsia" w:ascii="仿宋" w:hAnsi="仿宋" w:eastAsia="仿宋" w:cs="仿宋"/>
              <w:b/>
            </w:rPr>
          </w:pPr>
          <w:r>
            <w:rPr>
              <w:rFonts w:hint="eastAsia" w:ascii="仿宋" w:hAnsi="仿宋" w:eastAsia="仿宋" w:cs="仿宋"/>
              <w:b/>
            </w:rPr>
            <w:fldChar w:fldCharType="end"/>
          </w:r>
        </w:p>
        <w:p>
          <w:pPr>
            <w:rPr>
              <w:rFonts w:hint="eastAsia" w:ascii="仿宋" w:hAnsi="仿宋" w:eastAsia="仿宋" w:cs="仿宋"/>
              <w:b/>
            </w:rPr>
          </w:pPr>
        </w:p>
        <w:p>
          <w:pPr>
            <w:rPr>
              <w:rFonts w:hint="eastAsia" w:ascii="仿宋" w:hAnsi="仿宋" w:eastAsia="仿宋" w:cs="仿宋"/>
              <w:b/>
            </w:rPr>
          </w:pPr>
        </w:p>
        <w:p>
          <w:pPr>
            <w:rPr>
              <w:rFonts w:hint="eastAsia" w:ascii="仿宋" w:hAnsi="仿宋" w:eastAsia="仿宋" w:cs="仿宋"/>
            </w:rPr>
          </w:pPr>
        </w:p>
      </w:sdtContent>
    </w:sdt>
    <w:p>
      <w:pPr>
        <w:numPr>
          <w:ilvl w:val="0"/>
          <w:numId w:val="1"/>
        </w:numPr>
        <w:bidi w:val="0"/>
        <w:outlineLvl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0" w:name="_Toc18236"/>
      <w:r>
        <w:rPr>
          <w:rStyle w:val="13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开标前准备工作</w:t>
      </w:r>
      <w:bookmarkEnd w:id="0"/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lang w:val="en-US" w:eastAsia="zh-CN"/>
        </w:rPr>
        <w:t>注:为保障及时进入开标系统，前期准备工作请在开标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u w:val="single"/>
          <w:lang w:val="en-US" w:eastAsia="zh-CN"/>
        </w:rPr>
        <w:t>前2天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lang w:val="en-US" w:eastAsia="zh-CN"/>
        </w:rPr>
        <w:t>完成，如有问题请及时拨打技术支持电话0971-5115657咨询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)</w:t>
      </w:r>
    </w:p>
    <w:p>
      <w:pPr>
        <w:numPr>
          <w:ilvl w:val="0"/>
          <w:numId w:val="2"/>
        </w:numPr>
        <w:bidi w:val="0"/>
        <w:outlineLvl w:val="1"/>
        <w:rPr>
          <w:rStyle w:val="14"/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1" w:name="_Toc20579"/>
      <w:r>
        <w:rPr>
          <w:rStyle w:val="14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电脑配置要求:</w:t>
      </w:r>
      <w:bookmarkEnd w:id="1"/>
    </w:p>
    <w:tbl>
      <w:tblPr>
        <w:tblStyle w:val="11"/>
        <w:tblW w:w="5854" w:type="dxa"/>
        <w:tblInd w:w="6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4"/>
        <w:gridCol w:w="2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4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操作系统版本</w:t>
            </w:r>
          </w:p>
        </w:tc>
        <w:tc>
          <w:tcPr>
            <w:tcW w:w="2850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win7 64位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4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IE游览器版本</w:t>
            </w:r>
          </w:p>
        </w:tc>
        <w:tc>
          <w:tcPr>
            <w:tcW w:w="2850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IE 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4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宽带</w:t>
            </w:r>
          </w:p>
        </w:tc>
        <w:tc>
          <w:tcPr>
            <w:tcW w:w="2850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20M及以上宽带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4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电脑可用内存</w:t>
            </w:r>
          </w:p>
        </w:tc>
        <w:tc>
          <w:tcPr>
            <w:tcW w:w="2850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大于2G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4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电脑可用硬盘空间</w:t>
            </w:r>
          </w:p>
        </w:tc>
        <w:tc>
          <w:tcPr>
            <w:tcW w:w="2850" w:type="dxa"/>
          </w:tcPr>
          <w:p>
            <w:pPr>
              <w:numPr>
                <w:ilvl w:val="0"/>
                <w:numId w:val="0"/>
              </w:numPr>
              <w:bidi w:val="0"/>
              <w:jc w:val="left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大于40G</w:t>
            </w:r>
          </w:p>
        </w:tc>
      </w:tr>
    </w:tbl>
    <w:p>
      <w:pPr>
        <w:numPr>
          <w:ilvl w:val="0"/>
          <w:numId w:val="2"/>
        </w:numPr>
        <w:bidi w:val="0"/>
        <w:outlineLvl w:val="1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2" w:name="_Toc23673"/>
      <w:r>
        <w:rPr>
          <w:rStyle w:val="14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CA驱动安装</w:t>
      </w:r>
      <w:bookmarkEnd w:id="2"/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未安装CA驱动的，在青海省公共资源交易网（</w:t>
      </w:r>
      <w:r>
        <w:rPr>
          <w:rStyle w:val="9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http://www.qhggzyjy.gov.cn/ggzy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）【办事指南】---【下载中心】--【CA锁安装驱动】菜单中下载“新点驱动（青海政务服务2.1.rar）”和“驱动安装手册2.1.PDF”。按照操作手册安装，并检测（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lang w:val="en-US" w:eastAsia="zh-CN"/>
        </w:rPr>
        <w:t>注:之前已安装过CA驱动，并能正常登录交易平台的，无需再次安装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）。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5995035" cy="3229610"/>
            <wp:effectExtent l="0" t="0" r="5715" b="8890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95035" cy="322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numPr>
          <w:ilvl w:val="0"/>
          <w:numId w:val="3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插入CA锁，桌面上打开行助手 </w:t>
      </w: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800100" cy="781050"/>
            <wp:effectExtent l="0" t="0" r="0" b="0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点击证书检测，分别点击详情， 将其中的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证书序列号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记录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保存备用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。 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1125855" cy="2460625"/>
            <wp:effectExtent l="0" t="0" r="17145" b="15875"/>
            <wp:docPr id="2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125855" cy="246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2124075" cy="1019175"/>
            <wp:effectExtent l="0" t="0" r="9525" b="9525"/>
            <wp:docPr id="2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3024505" cy="629285"/>
            <wp:effectExtent l="0" t="0" r="4445" b="18415"/>
            <wp:docPr id="2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24505" cy="6292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2"/>
        </w:numPr>
        <w:bidi w:val="0"/>
        <w:outlineLvl w:val="1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3" w:name="_Toc10313"/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IE浏览器设置</w:t>
      </w:r>
      <w:bookmarkEnd w:id="3"/>
    </w:p>
    <w:p>
      <w:pPr>
        <w:numPr>
          <w:ilvl w:val="0"/>
          <w:numId w:val="4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打开IE浏览器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lang w:val="en-US" w:eastAsia="zh-CN"/>
        </w:rPr>
        <w:t>（注:必须使用IE11版本浏览器）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instrText xml:space="preserve"> HYPERLINK "http://www.qhggzyjy.gov.cn/ggzy/" </w:instrTex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separate"/>
      </w:r>
      <w:r>
        <w:rPr>
          <w:rStyle w:val="9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http://www.qhggzyjy.gov.cn/ggzy/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（青海省公共资源交易网），点击【远程异地开标系统】跳转到不见面开标大厅。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641465" cy="730250"/>
            <wp:effectExtent l="0" t="0" r="6985" b="12700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730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点击菜单栏的【工具】选项（</w:t>
      </w:r>
      <w:r>
        <w:rPr>
          <w:rFonts w:hint="eastAsia" w:ascii="仿宋_GB2312" w:hAnsi="仿宋_GB2312" w:eastAsia="仿宋_GB2312" w:cs="仿宋_GB2312"/>
          <w:color w:val="C00000"/>
          <w:sz w:val="28"/>
          <w:szCs w:val="28"/>
          <w:lang w:val="en-US" w:eastAsia="zh-CN"/>
        </w:rPr>
        <w:t>没有菜单栏的，在如图所示空白处，点击鼠标右键，勾选菜单栏即可。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）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5814060" cy="3132455"/>
            <wp:effectExtent l="0" t="0" r="15240" b="1079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14060" cy="313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点击【兼容性视图设置】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635750" cy="3575050"/>
            <wp:effectExtent l="0" t="0" r="12700" b="635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357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5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点击【添加】后，关闭完成。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635750" cy="3575050"/>
            <wp:effectExtent l="0" t="0" r="12700" b="635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357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Style w:val="14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4、添加可信任站点:</w:t>
      </w:r>
    </w:p>
    <w:p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（1）选择工具菜单中的---Internet选项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302375" cy="4478655"/>
            <wp:effectExtent l="0" t="0" r="3175" b="17145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02375" cy="44786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6"/>
        </w:num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添加信任站点，选择 安全----受信任的站点---点击 站点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2973705" cy="4255135"/>
            <wp:effectExtent l="0" t="0" r="17145" b="12065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73705" cy="42551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将当前地址 点击【添加】后，关闭完成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4266565" cy="4599940"/>
            <wp:effectExtent l="0" t="0" r="635" b="1016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6565" cy="45999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bidi w:val="0"/>
        <w:outlineLvl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4" w:name="_Toc146"/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二、登录远程异地开标系统</w:t>
      </w:r>
      <w:bookmarkEnd w:id="4"/>
    </w:p>
    <w:p>
      <w:pPr>
        <w:bidi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1、打开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instrText xml:space="preserve"> HYPERLINK "http://www.qhggzyjy.gov.cn/ggzy" </w:instrTex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separate"/>
      </w:r>
      <w:r>
        <w:rPr>
          <w:rStyle w:val="9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http://www.qhggzyjy.gov.cn/ggzy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（青海省公共资源交易网）进入如下图所示的 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u w:val="single"/>
          <w:lang w:val="en-US" w:eastAsia="zh-CN"/>
        </w:rPr>
        <w:t>远程异地开标系统</w:t>
      </w:r>
    </w:p>
    <w:p>
      <w:pPr>
        <w:bidi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947535" cy="3451225"/>
            <wp:effectExtent l="0" t="0" r="5715" b="15875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947535" cy="3451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2、点击【登录】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979920" cy="2535555"/>
            <wp:effectExtent l="0" t="0" r="11430" b="171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979920" cy="25355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3、身份选择【投标人】，地区选择【青海省公共资源交易】，插上CA锁，输入CA锁密码，点击登录。</w:t>
      </w:r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856095" cy="2935605"/>
            <wp:effectExtent l="0" t="0" r="1905" b="17145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856095" cy="2935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outlineLvl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5" w:name="_Toc24763"/>
      <w:r>
        <w:rPr>
          <w:rStyle w:val="13"/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三、进入项目及投标文件解密</w:t>
      </w:r>
      <w:bookmarkEnd w:id="5"/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1、登录系统后在【我的项目】中找到当前开标项目，点击进入项目。</w:t>
      </w:r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914515" cy="2482215"/>
            <wp:effectExtent l="0" t="0" r="635" b="1333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914515" cy="24822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2、阅读开标流程介绍后，点击【我已阅读】进入下一环节解密。</w:t>
      </w:r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634480" cy="2581275"/>
            <wp:effectExtent l="0" t="0" r="13970" b="952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34480" cy="2581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注：各投标人要仔细阅读电子开标各流程，了解操作步骤，按顺序进行电子开标。</w:t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输入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CA锁密码，点击【解密】 ，并及时关注 【互动交流】内的信息</w:t>
      </w:r>
    </w:p>
    <w:p>
      <w:pPr>
        <w:numPr>
          <w:ilvl w:val="0"/>
          <w:numId w:val="0"/>
        </w:numPr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906260" cy="3068320"/>
            <wp:effectExtent l="0" t="0" r="8890" b="17780"/>
            <wp:docPr id="1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906260" cy="30683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0" w:leftChars="0" w:firstLine="0" w:firstLine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解密完成后，关注查看开标结果及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【互动交流】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信息。</w:t>
      </w:r>
      <w:r>
        <w:rPr>
          <w:rFonts w:hint="eastAsia" w:ascii="仿宋_GB2312" w:hAnsi="仿宋_GB2312" w:eastAsia="仿宋_GB2312" w:cs="仿宋_GB2312"/>
          <w:sz w:val="28"/>
          <w:szCs w:val="28"/>
        </w:rPr>
        <w:drawing>
          <wp:inline distT="0" distB="0" distL="114300" distR="114300">
            <wp:extent cx="6664325" cy="2404745"/>
            <wp:effectExtent l="0" t="0" r="3175" b="14605"/>
            <wp:docPr id="2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664325" cy="24047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注：此环节可与招标代理机构就开标过程中的事宜进行互动。</w:t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异议提交功能：</w:t>
      </w:r>
      <w:bookmarkStart w:id="6" w:name="_GoBack"/>
      <w:bookmarkEnd w:id="6"/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投标人可以在开标阶段向招标代理提出异议，异议内容及回复公开，所有人均可查看。</w:t>
      </w:r>
    </w:p>
    <w:p>
      <w:pPr>
        <w:numPr>
          <w:ilvl w:val="0"/>
          <w:numId w:val="7"/>
        </w:numPr>
        <w:ind w:leftChars="0" w:firstLine="280" w:firstLineChars="100"/>
        <w:jc w:val="both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点击 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开标异议文字提问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，可以输入具体异议内容。</w:t>
      </w:r>
    </w:p>
    <w:p>
      <w:pPr>
        <w:numPr>
          <w:ilvl w:val="0"/>
          <w:numId w:val="7"/>
        </w:numPr>
        <w:ind w:leftChars="0" w:firstLine="280" w:firstLineChars="100"/>
        <w:jc w:val="both"/>
        <w:outlineLvl w:val="9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点击 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异议查看，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可以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查看所有异议内容及回复内容。</w:t>
      </w: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</w:p>
    <w:p>
      <w:pPr>
        <w:numPr>
          <w:ilvl w:val="0"/>
          <w:numId w:val="0"/>
        </w:numPr>
        <w:ind w:leftChars="0"/>
        <w:jc w:val="both"/>
        <w:outlineLvl w:val="9"/>
      </w:pPr>
      <w:r>
        <w:drawing>
          <wp:inline distT="0" distB="0" distL="114300" distR="114300">
            <wp:extent cx="6552565" cy="3155950"/>
            <wp:effectExtent l="0" t="0" r="635" b="635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552565" cy="31559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>
      <w:pPr>
        <w:numPr>
          <w:ilvl w:val="0"/>
          <w:numId w:val="0"/>
        </w:numPr>
        <w:ind w:leftChars="0"/>
        <w:jc w:val="both"/>
        <w:outlineLvl w:val="9"/>
        <w:rPr>
          <w:rFonts w:hint="eastAsia"/>
          <w:lang w:val="en-US" w:eastAsia="zh-CN"/>
        </w:rPr>
      </w:pPr>
      <w:r>
        <w:drawing>
          <wp:inline distT="0" distB="0" distL="114300" distR="114300">
            <wp:extent cx="6642735" cy="3861435"/>
            <wp:effectExtent l="0" t="0" r="5715" b="5715"/>
            <wp:docPr id="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8614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F022E83"/>
    <w:multiLevelType w:val="singleLevel"/>
    <w:tmpl w:val="8F022E83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92362D41"/>
    <w:multiLevelType w:val="singleLevel"/>
    <w:tmpl w:val="92362D4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C54BCF4F"/>
    <w:multiLevelType w:val="singleLevel"/>
    <w:tmpl w:val="C54BCF4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2239161E"/>
    <w:multiLevelType w:val="singleLevel"/>
    <w:tmpl w:val="2239161E"/>
    <w:lvl w:ilvl="0" w:tentative="0">
      <w:start w:val="2"/>
      <w:numFmt w:val="decimal"/>
      <w:suff w:val="nothing"/>
      <w:lvlText w:val="（%1）"/>
      <w:lvlJc w:val="left"/>
    </w:lvl>
  </w:abstractNum>
  <w:abstractNum w:abstractNumId="4">
    <w:nsid w:val="5363C867"/>
    <w:multiLevelType w:val="singleLevel"/>
    <w:tmpl w:val="5363C867"/>
    <w:lvl w:ilvl="0" w:tentative="0">
      <w:start w:val="4"/>
      <w:numFmt w:val="decimal"/>
      <w:lvlText w:val="(%1)"/>
      <w:lvlJc w:val="left"/>
      <w:pPr>
        <w:tabs>
          <w:tab w:val="left" w:pos="312"/>
        </w:tabs>
      </w:pPr>
    </w:lvl>
  </w:abstractNum>
  <w:abstractNum w:abstractNumId="5">
    <w:nsid w:val="5A9F3CDA"/>
    <w:multiLevelType w:val="singleLevel"/>
    <w:tmpl w:val="5A9F3CDA"/>
    <w:lvl w:ilvl="0" w:tentative="0">
      <w:start w:val="2"/>
      <w:numFmt w:val="decimal"/>
      <w:suff w:val="space"/>
      <w:lvlText w:val="（%1）"/>
      <w:lvlJc w:val="left"/>
    </w:lvl>
  </w:abstractNum>
  <w:abstractNum w:abstractNumId="6">
    <w:nsid w:val="6E34F874"/>
    <w:multiLevelType w:val="singleLevel"/>
    <w:tmpl w:val="6E34F874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AB28AA"/>
    <w:rsid w:val="007669D0"/>
    <w:rsid w:val="009D265E"/>
    <w:rsid w:val="00C27850"/>
    <w:rsid w:val="02C377D4"/>
    <w:rsid w:val="04456E9A"/>
    <w:rsid w:val="0ED6085E"/>
    <w:rsid w:val="10302015"/>
    <w:rsid w:val="105821B3"/>
    <w:rsid w:val="10F1190F"/>
    <w:rsid w:val="14FE52D5"/>
    <w:rsid w:val="163D03C9"/>
    <w:rsid w:val="18490C9F"/>
    <w:rsid w:val="18682E27"/>
    <w:rsid w:val="1A6B292C"/>
    <w:rsid w:val="1F51047D"/>
    <w:rsid w:val="221623C9"/>
    <w:rsid w:val="22BA70BB"/>
    <w:rsid w:val="24B91E46"/>
    <w:rsid w:val="2F8B726B"/>
    <w:rsid w:val="3A462675"/>
    <w:rsid w:val="3ECE0039"/>
    <w:rsid w:val="447E3F3E"/>
    <w:rsid w:val="466177BB"/>
    <w:rsid w:val="49CA2AD2"/>
    <w:rsid w:val="4CE05DCA"/>
    <w:rsid w:val="4D2D3AF1"/>
    <w:rsid w:val="4DAB28AA"/>
    <w:rsid w:val="527343F2"/>
    <w:rsid w:val="5DF5247F"/>
    <w:rsid w:val="62053D34"/>
    <w:rsid w:val="66B46689"/>
    <w:rsid w:val="678916AA"/>
    <w:rsid w:val="68372665"/>
    <w:rsid w:val="6BA66117"/>
    <w:rsid w:val="6BAF0C68"/>
    <w:rsid w:val="6C6676FD"/>
    <w:rsid w:val="6D017504"/>
    <w:rsid w:val="6E2513FC"/>
    <w:rsid w:val="6FBB6D03"/>
    <w:rsid w:val="702F06BB"/>
    <w:rsid w:val="741660D8"/>
    <w:rsid w:val="77305DF2"/>
    <w:rsid w:val="788C5E50"/>
    <w:rsid w:val="79D21617"/>
    <w:rsid w:val="79D925E7"/>
    <w:rsid w:val="7BC92003"/>
    <w:rsid w:val="7D834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2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13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Theme="minorAscii" w:hAnsiTheme="minorAscii"/>
      <w:b/>
      <w:sz w:val="28"/>
    </w:rPr>
  </w:style>
  <w:style w:type="paragraph" w:styleId="5">
    <w:name w:val="heading 4"/>
    <w:basedOn w:val="1"/>
    <w:next w:val="1"/>
    <w:link w:val="14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4"/>
    </w:rPr>
  </w:style>
  <w:style w:type="character" w:default="1" w:styleId="8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1"/>
    <w:basedOn w:val="1"/>
    <w:next w:val="1"/>
    <w:qFormat/>
    <w:uiPriority w:val="0"/>
  </w:style>
  <w:style w:type="paragraph" w:styleId="7">
    <w:name w:val="toc 2"/>
    <w:basedOn w:val="1"/>
    <w:next w:val="1"/>
    <w:qFormat/>
    <w:uiPriority w:val="0"/>
    <w:pPr>
      <w:spacing w:line="360" w:lineRule="auto"/>
      <w:ind w:left="0" w:leftChars="0"/>
      <w:jc w:val="center"/>
    </w:pPr>
    <w:rPr>
      <w:rFonts w:ascii="Times New Roman" w:hAnsi="Times New Roman" w:eastAsia="宋体" w:cs="Times New Roman"/>
      <w:b/>
      <w:kern w:val="20"/>
      <w:sz w:val="32"/>
      <w:szCs w:val="22"/>
    </w:r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2">
    <w:name w:val="标题 2 Char"/>
    <w:link w:val="3"/>
    <w:qFormat/>
    <w:uiPriority w:val="0"/>
    <w:rPr>
      <w:rFonts w:ascii="Arial" w:hAnsi="Arial" w:eastAsia="黑体"/>
      <w:b/>
      <w:sz w:val="32"/>
    </w:rPr>
  </w:style>
  <w:style w:type="character" w:customStyle="1" w:styleId="13">
    <w:name w:val="标题 3 Char"/>
    <w:link w:val="4"/>
    <w:qFormat/>
    <w:uiPriority w:val="0"/>
    <w:rPr>
      <w:rFonts w:asciiTheme="minorAscii" w:hAnsiTheme="minorAscii" w:eastAsiaTheme="minorEastAsia"/>
      <w:b/>
      <w:sz w:val="28"/>
    </w:rPr>
  </w:style>
  <w:style w:type="character" w:customStyle="1" w:styleId="14">
    <w:name w:val="标题 4 Char"/>
    <w:link w:val="5"/>
    <w:qFormat/>
    <w:uiPriority w:val="0"/>
    <w:rPr>
      <w:rFonts w:ascii="Arial" w:hAnsi="Arial" w:eastAsia="黑体"/>
      <w:b/>
      <w:sz w:val="24"/>
    </w:rPr>
  </w:style>
  <w:style w:type="paragraph" w:customStyle="1" w:styleId="15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16">
    <w:name w:val="WPSOffice手动目录 2"/>
    <w:qFormat/>
    <w:uiPriority w:val="0"/>
    <w:pPr>
      <w:ind w:leftChars="2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customXml" Target="../customXml/item1.xml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2020-02-18T01:39:00Z</dcterms:created>
  <dc:creator>Administrator</dc:creator>
  <cp:lastModifiedBy>Administrator</cp:lastModifiedBy>
  <cp:lastPrinted>2020-02-21T07:41:00Z</cp:lastPrinted>
  <dcterms:modified xsi:type="dcterms:W3CDTF">2020-02-21T10:14:51Z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