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960" w:lineRule="auto"/>
        <w:ind w:firstLine="1044"/>
        <w:jc w:val="center"/>
        <w:rPr>
          <w:rFonts w:hint="eastAsia" w:eastAsia="黑体"/>
          <w:b/>
          <w:sz w:val="72"/>
          <w:szCs w:val="72"/>
        </w:rPr>
      </w:pPr>
    </w:p>
    <w:p>
      <w:pPr>
        <w:spacing w:line="960" w:lineRule="auto"/>
        <w:ind w:firstLine="1044"/>
        <w:jc w:val="center"/>
        <w:rPr>
          <w:rFonts w:hint="eastAsia" w:eastAsia="黑体"/>
          <w:b/>
          <w:sz w:val="72"/>
          <w:szCs w:val="72"/>
          <w:lang w:eastAsia="zh-CN"/>
        </w:rPr>
      </w:pPr>
      <w:r>
        <w:rPr>
          <w:rFonts w:hint="eastAsia" w:eastAsia="黑体"/>
          <w:b/>
          <w:sz w:val="72"/>
          <w:szCs w:val="72"/>
        </w:rPr>
        <w:t>青海省</w:t>
      </w:r>
      <w:r>
        <w:rPr>
          <w:rFonts w:hint="eastAsia" w:eastAsia="黑体"/>
          <w:b/>
          <w:sz w:val="72"/>
          <w:szCs w:val="72"/>
          <w:lang w:eastAsia="zh-CN"/>
        </w:rPr>
        <w:t>电子招标投标</w:t>
      </w:r>
    </w:p>
    <w:p>
      <w:pPr>
        <w:spacing w:line="960" w:lineRule="auto"/>
        <w:ind w:firstLine="1044"/>
        <w:jc w:val="center"/>
        <w:rPr>
          <w:rFonts w:eastAsia="黑体"/>
          <w:b/>
          <w:sz w:val="72"/>
          <w:szCs w:val="72"/>
        </w:rPr>
      </w:pPr>
      <w:r>
        <w:rPr>
          <w:rFonts w:hint="eastAsia" w:eastAsia="黑体"/>
          <w:b/>
          <w:sz w:val="72"/>
          <w:szCs w:val="72"/>
          <w:lang w:eastAsia="zh-CN"/>
        </w:rPr>
        <w:t>公共服务平台</w:t>
      </w:r>
    </w:p>
    <w:p>
      <w:pPr>
        <w:pStyle w:val="123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建设工程政府采购管理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及网上交易软件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招标代理操作手册</w:t>
      </w:r>
    </w:p>
    <w:p>
      <w:pPr>
        <w:pStyle w:val="88"/>
        <w:ind w:firstLine="360"/>
      </w:pPr>
    </w:p>
    <w:p>
      <w:pPr>
        <w:pStyle w:val="88"/>
        <w:ind w:firstLine="360"/>
      </w:pPr>
    </w:p>
    <w:p>
      <w:pPr>
        <w:pStyle w:val="88"/>
        <w:ind w:firstLine="360"/>
      </w:pPr>
    </w:p>
    <w:p>
      <w:pPr>
        <w:pStyle w:val="88"/>
        <w:ind w:firstLine="360"/>
      </w:pPr>
    </w:p>
    <w:p>
      <w:pPr>
        <w:pStyle w:val="88"/>
        <w:ind w:firstLine="360"/>
      </w:pPr>
    </w:p>
    <w:p>
      <w:pPr>
        <w:pStyle w:val="88"/>
        <w:ind w:firstLine="0" w:firstLineChars="0"/>
      </w:pPr>
    </w:p>
    <w:p>
      <w:pPr>
        <w:ind w:firstLine="0" w:firstLineChars="0"/>
        <w:jc w:val="center"/>
        <w:rPr>
          <w:rFonts w:hint="eastAsia"/>
          <w:b/>
          <w:spacing w:val="200"/>
          <w:sz w:val="32"/>
        </w:rPr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30"/>
        <w:tabs>
          <w:tab w:val="left" w:pos="1050"/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"标题 1,1,标题 2,2,标题 3,3" </w:instrText>
      </w:r>
      <w:r>
        <w:rPr>
          <w:rFonts w:asciiTheme="minorHAnsi" w:hAnsiTheme="minorHAnsi"/>
        </w:rPr>
        <w:fldChar w:fldCharType="separate"/>
      </w:r>
      <w:r>
        <w:fldChar w:fldCharType="begin"/>
      </w:r>
      <w:r>
        <w:instrText xml:space="preserve"> HYPERLINK \l "_Toc387137469" </w:instrText>
      </w:r>
      <w:r>
        <w:fldChar w:fldCharType="separate"/>
      </w:r>
      <w:r>
        <w:rPr>
          <w:rStyle w:val="45"/>
          <w:rFonts w:hint="eastAsia"/>
        </w:rPr>
        <w:t>一、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5"/>
          <w:rFonts w:hint="eastAsia"/>
        </w:rPr>
        <w:t>公共模块概述</w:t>
      </w:r>
      <w:r>
        <w:tab/>
      </w:r>
      <w:r>
        <w:fldChar w:fldCharType="begin"/>
      </w:r>
      <w:r>
        <w:instrText xml:space="preserve"> PAGEREF _Toc387137469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"_Toc387137470" </w:instrText>
      </w:r>
      <w:r>
        <w:fldChar w:fldCharType="separate"/>
      </w:r>
      <w:r>
        <w:rPr>
          <w:rStyle w:val="45"/>
          <w:rFonts w:hint="eastAsia"/>
        </w:rPr>
        <w:t>1.1、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登录交易平台</w:t>
      </w:r>
      <w:r>
        <w:rPr>
          <w:rStyle w:val="45"/>
        </w:rPr>
        <w:t>—</w:t>
      </w:r>
      <w:r>
        <w:rPr>
          <w:rStyle w:val="45"/>
          <w:rFonts w:hint="eastAsia"/>
        </w:rPr>
        <w:t>投标人</w:t>
      </w:r>
      <w:r>
        <w:tab/>
      </w:r>
      <w:r>
        <w:fldChar w:fldCharType="begin"/>
      </w:r>
      <w:r>
        <w:instrText xml:space="preserve"> PAGEREF _Toc387137470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"_Toc387137471" </w:instrText>
      </w:r>
      <w:r>
        <w:fldChar w:fldCharType="separate"/>
      </w:r>
      <w:r>
        <w:rPr>
          <w:rStyle w:val="45"/>
          <w:rFonts w:hint="eastAsia"/>
        </w:rPr>
        <w:t>1.2、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最新消息</w:t>
      </w:r>
      <w:r>
        <w:tab/>
      </w:r>
      <w:r>
        <w:fldChar w:fldCharType="begin"/>
      </w:r>
      <w:r>
        <w:instrText xml:space="preserve"> PAGEREF _Toc387137471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"_Toc387137472" </w:instrText>
      </w:r>
      <w:r>
        <w:fldChar w:fldCharType="separate"/>
      </w:r>
      <w:r>
        <w:rPr>
          <w:rStyle w:val="45"/>
          <w:rFonts w:hint="eastAsia"/>
        </w:rPr>
        <w:t>1.3、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菜单快捷方式</w:t>
      </w:r>
      <w:r>
        <w:tab/>
      </w:r>
      <w:r>
        <w:fldChar w:fldCharType="begin"/>
      </w:r>
      <w:r>
        <w:instrText xml:space="preserve"> PAGEREF _Toc387137472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"_Toc387137473" </w:instrText>
      </w:r>
      <w:r>
        <w:fldChar w:fldCharType="separate"/>
      </w:r>
      <w:r>
        <w:rPr>
          <w:rStyle w:val="45"/>
          <w:rFonts w:hint="eastAsia"/>
        </w:rPr>
        <w:t>1.4、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开标提醒</w:t>
      </w:r>
      <w:r>
        <w:tab/>
      </w:r>
      <w:r>
        <w:fldChar w:fldCharType="begin"/>
      </w:r>
      <w:r>
        <w:instrText xml:space="preserve"> PAGEREF _Toc387137473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"_Toc387137474" </w:instrText>
      </w:r>
      <w:r>
        <w:fldChar w:fldCharType="separate"/>
      </w:r>
      <w:r>
        <w:rPr>
          <w:rStyle w:val="45"/>
          <w:rFonts w:hint="eastAsia"/>
        </w:rPr>
        <w:t>1.5、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本月新增</w:t>
      </w:r>
      <w:r>
        <w:tab/>
      </w:r>
      <w:r>
        <w:fldChar w:fldCharType="begin"/>
      </w:r>
      <w:r>
        <w:instrText xml:space="preserve"> PAGEREF _Toc387137474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"_Toc387137475" </w:instrText>
      </w:r>
      <w:r>
        <w:fldChar w:fldCharType="separate"/>
      </w:r>
      <w:r>
        <w:rPr>
          <w:rStyle w:val="45"/>
          <w:rFonts w:hint="eastAsia"/>
        </w:rPr>
        <w:t>二、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5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_Toc387137475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"_Toc387137476" </w:instrText>
      </w:r>
      <w:r>
        <w:fldChar w:fldCharType="separate"/>
      </w:r>
      <w:r>
        <w:rPr>
          <w:rStyle w:val="45"/>
          <w:rFonts w:hint="eastAsia"/>
        </w:rPr>
        <w:t>2.1、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_Toc387137476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"_Toc387137477" </w:instrText>
      </w:r>
      <w:r>
        <w:fldChar w:fldCharType="separate"/>
      </w:r>
      <w:r>
        <w:rPr>
          <w:rStyle w:val="45"/>
          <w:rFonts w:hint="eastAsia"/>
        </w:rPr>
        <w:t>2.1.1、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_Toc387137477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"_Toc387137478" </w:instrText>
      </w:r>
      <w:r>
        <w:fldChar w:fldCharType="separate"/>
      </w:r>
      <w:r>
        <w:rPr>
          <w:rStyle w:val="45"/>
          <w:rFonts w:hint="eastAsia"/>
        </w:rPr>
        <w:t>2.1.2、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安装</w:t>
      </w:r>
      <w:r>
        <w:rPr>
          <w:rStyle w:val="45"/>
        </w:rPr>
        <w:t>IC</w:t>
      </w:r>
      <w:r>
        <w:rPr>
          <w:rStyle w:val="45"/>
          <w:rFonts w:hint="eastAsia"/>
        </w:rPr>
        <w:t>卡读卡驱动</w:t>
      </w:r>
      <w:r>
        <w:tab/>
      </w:r>
      <w:r>
        <w:fldChar w:fldCharType="begin"/>
      </w:r>
      <w:r>
        <w:instrText xml:space="preserve"> PAGEREF _Toc387137478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"_Toc387137479" </w:instrText>
      </w:r>
      <w:r>
        <w:fldChar w:fldCharType="separate"/>
      </w:r>
      <w:r>
        <w:rPr>
          <w:rStyle w:val="45"/>
          <w:rFonts w:hint="eastAsia"/>
        </w:rPr>
        <w:t>2.2、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_Toc387137479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"_Toc387137480" </w:instrText>
      </w:r>
      <w:r>
        <w:fldChar w:fldCharType="separate"/>
      </w:r>
      <w:r>
        <w:rPr>
          <w:rStyle w:val="45"/>
          <w:rFonts w:hint="eastAsia"/>
        </w:rPr>
        <w:t>2.2.1、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_Toc387137480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"_Toc387137481" </w:instrText>
      </w:r>
      <w:r>
        <w:fldChar w:fldCharType="separate"/>
      </w:r>
      <w:r>
        <w:rPr>
          <w:rStyle w:val="45"/>
          <w:rFonts w:hint="eastAsia"/>
        </w:rPr>
        <w:t>2.3、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_Toc387137481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"_Toc387137482" </w:instrText>
      </w:r>
      <w:r>
        <w:fldChar w:fldCharType="separate"/>
      </w:r>
      <w:r>
        <w:rPr>
          <w:rStyle w:val="45"/>
          <w:rFonts w:hint="eastAsia"/>
        </w:rPr>
        <w:t>2.3.1、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_Toc387137482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"_Toc387137483" </w:instrText>
      </w:r>
      <w:r>
        <w:fldChar w:fldCharType="separate"/>
      </w:r>
      <w:r>
        <w:rPr>
          <w:rStyle w:val="45"/>
          <w:rFonts w:hint="eastAsia"/>
        </w:rPr>
        <w:t>2.3.2、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系统检测</w:t>
      </w:r>
      <w:r>
        <w:tab/>
      </w:r>
      <w:r>
        <w:fldChar w:fldCharType="begin"/>
      </w:r>
      <w:r>
        <w:instrText xml:space="preserve"> PAGEREF _Toc387137483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"_Toc387137484" </w:instrText>
      </w:r>
      <w:r>
        <w:fldChar w:fldCharType="separate"/>
      </w:r>
      <w:r>
        <w:rPr>
          <w:rStyle w:val="45"/>
          <w:rFonts w:hint="eastAsia"/>
        </w:rPr>
        <w:t>2.3.3、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控件检测</w:t>
      </w:r>
      <w:r>
        <w:tab/>
      </w:r>
      <w:r>
        <w:fldChar w:fldCharType="begin"/>
      </w:r>
      <w:r>
        <w:instrText xml:space="preserve"> PAGEREF _Toc387137484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"_Toc387137485" </w:instrText>
      </w:r>
      <w:r>
        <w:fldChar w:fldCharType="separate"/>
      </w:r>
      <w:r>
        <w:rPr>
          <w:rStyle w:val="45"/>
          <w:rFonts w:hint="eastAsia"/>
        </w:rPr>
        <w:t>2.3.4、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证书检测</w:t>
      </w:r>
      <w:r>
        <w:tab/>
      </w:r>
      <w:r>
        <w:fldChar w:fldCharType="begin"/>
      </w:r>
      <w:r>
        <w:instrText xml:space="preserve"> PAGEREF _Toc387137485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"_Toc387137486" </w:instrText>
      </w:r>
      <w:r>
        <w:fldChar w:fldCharType="separate"/>
      </w:r>
      <w:r>
        <w:rPr>
          <w:rStyle w:val="45"/>
          <w:rFonts w:hint="eastAsia"/>
        </w:rPr>
        <w:t>2.3.5、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签章检测</w:t>
      </w:r>
      <w:r>
        <w:tab/>
      </w:r>
      <w:r>
        <w:fldChar w:fldCharType="begin"/>
      </w:r>
      <w:r>
        <w:instrText xml:space="preserve"> PAGEREF _Toc387137486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"_Toc387137487" </w:instrText>
      </w:r>
      <w:r>
        <w:fldChar w:fldCharType="separate"/>
      </w:r>
      <w:r>
        <w:rPr>
          <w:rStyle w:val="45"/>
          <w:rFonts w:hint="eastAsia"/>
        </w:rPr>
        <w:t>2.4、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_Toc387137487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"_Toc387137488" </w:instrText>
      </w:r>
      <w:r>
        <w:fldChar w:fldCharType="separate"/>
      </w:r>
      <w:r>
        <w:rPr>
          <w:rStyle w:val="45"/>
          <w:rFonts w:hint="eastAsia"/>
        </w:rPr>
        <w:t>2.4.1、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</w:rPr>
        <w:t>Internet</w:t>
      </w:r>
      <w:r>
        <w:rPr>
          <w:rStyle w:val="45"/>
          <w:rFonts w:hint="eastAsia"/>
        </w:rPr>
        <w:t>选项</w:t>
      </w:r>
      <w:r>
        <w:tab/>
      </w:r>
      <w:r>
        <w:fldChar w:fldCharType="begin"/>
      </w:r>
      <w:r>
        <w:instrText xml:space="preserve"> PAGEREF _Toc387137488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"_Toc387137489" </w:instrText>
      </w:r>
      <w:r>
        <w:fldChar w:fldCharType="separate"/>
      </w:r>
      <w:r>
        <w:rPr>
          <w:rStyle w:val="45"/>
          <w:rFonts w:hint="eastAsia"/>
        </w:rPr>
        <w:t>2.4.2、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_Toc387137489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"_Toc387137490" </w:instrText>
      </w:r>
      <w:r>
        <w:fldChar w:fldCharType="separate"/>
      </w:r>
      <w:r>
        <w:rPr>
          <w:rStyle w:val="45"/>
          <w:rFonts w:hint="eastAsia"/>
        </w:rPr>
        <w:t>三、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45"/>
          <w:rFonts w:hint="eastAsia"/>
        </w:rPr>
        <w:t>招标代理业务申报系统</w:t>
      </w:r>
      <w:r>
        <w:tab/>
      </w:r>
      <w:r>
        <w:fldChar w:fldCharType="begin"/>
      </w:r>
      <w:r>
        <w:instrText xml:space="preserve"> PAGEREF _Toc387137490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"_Toc387137491" </w:instrText>
      </w:r>
      <w:r>
        <w:fldChar w:fldCharType="separate"/>
      </w:r>
      <w:r>
        <w:rPr>
          <w:rStyle w:val="45"/>
          <w:rFonts w:hint="eastAsia"/>
        </w:rPr>
        <w:t>3.1、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基本流程图</w:t>
      </w:r>
      <w:r>
        <w:tab/>
      </w:r>
      <w:r>
        <w:fldChar w:fldCharType="begin"/>
      </w:r>
      <w:r>
        <w:instrText xml:space="preserve"> PAGEREF _Toc387137491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"_Toc387137492" </w:instrText>
      </w:r>
      <w:r>
        <w:fldChar w:fldCharType="separate"/>
      </w:r>
      <w:r>
        <w:rPr>
          <w:rStyle w:val="45"/>
          <w:rFonts w:hint="eastAsia"/>
        </w:rPr>
        <w:t>3.2、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招标方案</w:t>
      </w:r>
      <w:r>
        <w:tab/>
      </w:r>
      <w:r>
        <w:fldChar w:fldCharType="begin"/>
      </w:r>
      <w:r>
        <w:instrText xml:space="preserve"> PAGEREF _Toc387137492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"_Toc387137493" </w:instrText>
      </w:r>
      <w:r>
        <w:fldChar w:fldCharType="separate"/>
      </w:r>
      <w:r>
        <w:rPr>
          <w:rStyle w:val="45"/>
          <w:rFonts w:hint="eastAsia"/>
        </w:rPr>
        <w:t>3.2.1、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项目注册</w:t>
      </w:r>
      <w:r>
        <w:tab/>
      </w:r>
      <w:r>
        <w:fldChar w:fldCharType="begin"/>
      </w:r>
      <w:r>
        <w:instrText xml:space="preserve"> PAGEREF _Toc387137493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"_Toc387137494" </w:instrText>
      </w:r>
      <w:r>
        <w:fldChar w:fldCharType="separate"/>
      </w:r>
      <w:r>
        <w:rPr>
          <w:rStyle w:val="45"/>
          <w:rFonts w:hint="eastAsia"/>
        </w:rPr>
        <w:t>3.2.2、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招标项目</w:t>
      </w:r>
      <w:r>
        <w:tab/>
      </w:r>
      <w:r>
        <w:fldChar w:fldCharType="begin"/>
      </w:r>
      <w:r>
        <w:instrText xml:space="preserve"> PAGEREF _Toc387137494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"_Toc387137495" </w:instrText>
      </w:r>
      <w:r>
        <w:fldChar w:fldCharType="separate"/>
      </w:r>
      <w:r>
        <w:rPr>
          <w:rStyle w:val="45"/>
          <w:rFonts w:hint="eastAsia"/>
        </w:rPr>
        <w:t>3.2.3、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招标委托合同</w:t>
      </w:r>
      <w:r>
        <w:tab/>
      </w:r>
      <w:r>
        <w:fldChar w:fldCharType="begin"/>
      </w:r>
      <w:r>
        <w:instrText xml:space="preserve"> PAGEREF _Toc387137495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"_Toc387137496" </w:instrText>
      </w:r>
      <w:r>
        <w:fldChar w:fldCharType="separate"/>
      </w:r>
      <w:r>
        <w:rPr>
          <w:rStyle w:val="45"/>
          <w:rFonts w:hint="eastAsia"/>
        </w:rPr>
        <w:t>3.2.4、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招标项目计划</w:t>
      </w:r>
      <w:r>
        <w:tab/>
      </w:r>
      <w:r>
        <w:fldChar w:fldCharType="begin"/>
      </w:r>
      <w:r>
        <w:instrText xml:space="preserve"> PAGEREF _Toc387137496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"_Toc387137497" </w:instrText>
      </w:r>
      <w:r>
        <w:fldChar w:fldCharType="separate"/>
      </w:r>
      <w:r>
        <w:rPr>
          <w:rStyle w:val="45"/>
          <w:rFonts w:hint="eastAsia"/>
        </w:rPr>
        <w:t>3.3、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投标邀请</w:t>
      </w:r>
      <w:r>
        <w:tab/>
      </w:r>
      <w:r>
        <w:fldChar w:fldCharType="begin"/>
      </w:r>
      <w:r>
        <w:instrText xml:space="preserve"> PAGEREF _Toc387137497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"_Toc387137498" </w:instrText>
      </w:r>
      <w:r>
        <w:fldChar w:fldCharType="separate"/>
      </w:r>
      <w:r>
        <w:rPr>
          <w:rStyle w:val="45"/>
          <w:rFonts w:hint="eastAsia"/>
        </w:rPr>
        <w:t>3.3.1、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招标公告</w:t>
      </w:r>
      <w:r>
        <w:tab/>
      </w:r>
      <w:r>
        <w:fldChar w:fldCharType="begin"/>
      </w:r>
      <w:r>
        <w:instrText xml:space="preserve"> PAGEREF _Toc387137498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1"/>
        <w:tabs>
          <w:tab w:val="left" w:pos="2258"/>
          <w:tab w:val="right" w:leader="dot" w:pos="8302"/>
        </w:tabs>
        <w:ind w:firstLine="126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"_Toc387137499" </w:instrText>
      </w:r>
      <w:r>
        <w:fldChar w:fldCharType="separate"/>
      </w:r>
      <w:r>
        <w:rPr>
          <w:rStyle w:val="45"/>
          <w:rFonts w:hint="eastAsia"/>
          <w:snapToGrid w:val="0"/>
          <w:w w:val="0"/>
          <w:kern w:val="0"/>
        </w:rPr>
        <w:t>3.3.1.1、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5"/>
          <w:rFonts w:hint="eastAsia"/>
        </w:rPr>
        <w:t>资审方式（资格预审）</w:t>
      </w:r>
      <w:r>
        <w:tab/>
      </w:r>
      <w:r>
        <w:fldChar w:fldCharType="begin"/>
      </w:r>
      <w:r>
        <w:instrText xml:space="preserve"> PAGEREF _Toc387137499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31"/>
        <w:tabs>
          <w:tab w:val="left" w:pos="2258"/>
          <w:tab w:val="right" w:leader="dot" w:pos="8302"/>
        </w:tabs>
        <w:ind w:firstLine="126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"_Toc387137500" </w:instrText>
      </w:r>
      <w:r>
        <w:fldChar w:fldCharType="separate"/>
      </w:r>
      <w:r>
        <w:rPr>
          <w:rStyle w:val="45"/>
          <w:rFonts w:hint="eastAsia"/>
          <w:snapToGrid w:val="0"/>
          <w:w w:val="0"/>
          <w:kern w:val="0"/>
        </w:rPr>
        <w:t>3.3.1.2、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5"/>
          <w:rFonts w:hint="eastAsia"/>
        </w:rPr>
        <w:t>资审方式（资格后审）</w:t>
      </w:r>
      <w:r>
        <w:tab/>
      </w:r>
      <w:r>
        <w:fldChar w:fldCharType="begin"/>
      </w:r>
      <w:r>
        <w:instrText xml:space="preserve"> PAGEREF _Toc387137500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"_Toc387137501" </w:instrText>
      </w:r>
      <w:r>
        <w:fldChar w:fldCharType="separate"/>
      </w:r>
      <w:r>
        <w:rPr>
          <w:rStyle w:val="45"/>
          <w:rFonts w:hint="eastAsia"/>
        </w:rPr>
        <w:t>3.3.2、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填写投标信息</w:t>
      </w:r>
      <w:r>
        <w:tab/>
      </w:r>
      <w:r>
        <w:fldChar w:fldCharType="begin"/>
      </w:r>
      <w:r>
        <w:instrText xml:space="preserve"> PAGEREF _Toc387137501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"_Toc387137502" </w:instrText>
      </w:r>
      <w:r>
        <w:fldChar w:fldCharType="separate"/>
      </w:r>
      <w:r>
        <w:rPr>
          <w:rStyle w:val="45"/>
          <w:rFonts w:hint="eastAsia"/>
        </w:rPr>
        <w:t>3.3.3、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变更公告</w:t>
      </w:r>
      <w:r>
        <w:tab/>
      </w:r>
      <w:r>
        <w:fldChar w:fldCharType="begin"/>
      </w:r>
      <w:r>
        <w:instrText xml:space="preserve"> PAGEREF _Toc387137502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"_Toc387137503" </w:instrText>
      </w:r>
      <w:r>
        <w:fldChar w:fldCharType="separate"/>
      </w:r>
      <w:r>
        <w:rPr>
          <w:rStyle w:val="45"/>
          <w:rFonts w:hint="eastAsia"/>
        </w:rPr>
        <w:t>3.3.4、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投标邀请书（邀请）</w:t>
      </w:r>
      <w:r>
        <w:tab/>
      </w:r>
      <w:r>
        <w:fldChar w:fldCharType="begin"/>
      </w:r>
      <w:r>
        <w:instrText xml:space="preserve"> PAGEREF _Toc387137503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"_Toc387137504" </w:instrText>
      </w:r>
      <w:r>
        <w:fldChar w:fldCharType="separate"/>
      </w:r>
      <w:r>
        <w:rPr>
          <w:rStyle w:val="45"/>
          <w:rFonts w:hint="eastAsia"/>
        </w:rPr>
        <w:t>3.4、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资格预审</w:t>
      </w:r>
      <w:r>
        <w:tab/>
      </w:r>
      <w:r>
        <w:fldChar w:fldCharType="begin"/>
      </w:r>
      <w:r>
        <w:instrText xml:space="preserve"> PAGEREF _Toc387137504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"_Toc387137505" </w:instrText>
      </w:r>
      <w:r>
        <w:fldChar w:fldCharType="separate"/>
      </w:r>
      <w:r>
        <w:rPr>
          <w:rStyle w:val="45"/>
          <w:rFonts w:hint="eastAsia"/>
        </w:rPr>
        <w:t>3.4.1、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资审场地预约</w:t>
      </w:r>
      <w:r>
        <w:tab/>
      </w:r>
      <w:r>
        <w:fldChar w:fldCharType="begin"/>
      </w:r>
      <w:r>
        <w:instrText xml:space="preserve"> PAGEREF _Toc387137505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"_Toc387137506" </w:instrText>
      </w:r>
      <w:r>
        <w:fldChar w:fldCharType="separate"/>
      </w:r>
      <w:r>
        <w:rPr>
          <w:rStyle w:val="45"/>
          <w:rFonts w:hint="eastAsia"/>
        </w:rPr>
        <w:t>3.4.2、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资格预审文件</w:t>
      </w:r>
      <w:r>
        <w:tab/>
      </w:r>
      <w:r>
        <w:fldChar w:fldCharType="begin"/>
      </w:r>
      <w:r>
        <w:instrText xml:space="preserve"> PAGEREF _Toc387137506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"_Toc387137507" </w:instrText>
      </w:r>
      <w:r>
        <w:fldChar w:fldCharType="separate"/>
      </w:r>
      <w:r>
        <w:rPr>
          <w:rStyle w:val="45"/>
          <w:rFonts w:hint="eastAsia"/>
        </w:rPr>
        <w:t>3.4.3、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提问回复（资格预审）</w:t>
      </w:r>
      <w:r>
        <w:tab/>
      </w:r>
      <w:r>
        <w:fldChar w:fldCharType="begin"/>
      </w:r>
      <w:r>
        <w:instrText xml:space="preserve"> PAGEREF _Toc387137507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"_Toc387137508" </w:instrText>
      </w:r>
      <w:r>
        <w:fldChar w:fldCharType="separate"/>
      </w:r>
      <w:r>
        <w:rPr>
          <w:rStyle w:val="45"/>
          <w:rFonts w:hint="eastAsia"/>
        </w:rPr>
        <w:t>3.4.4、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资审文件澄清和修改</w:t>
      </w:r>
      <w:r>
        <w:tab/>
      </w:r>
      <w:r>
        <w:fldChar w:fldCharType="begin"/>
      </w:r>
      <w:r>
        <w:instrText xml:space="preserve"> PAGEREF _Toc387137508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"_Toc387137509" </w:instrText>
      </w:r>
      <w:r>
        <w:fldChar w:fldCharType="separate"/>
      </w:r>
      <w:r>
        <w:rPr>
          <w:rStyle w:val="45"/>
          <w:rFonts w:hint="eastAsia"/>
        </w:rPr>
        <w:t>3.4.5、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组建资审委员会</w:t>
      </w:r>
      <w:r>
        <w:tab/>
      </w:r>
      <w:r>
        <w:fldChar w:fldCharType="begin"/>
      </w:r>
      <w:r>
        <w:instrText xml:space="preserve"> PAGEREF _Toc387137509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"_Toc387137510" </w:instrText>
      </w:r>
      <w:r>
        <w:fldChar w:fldCharType="separate"/>
      </w:r>
      <w:r>
        <w:rPr>
          <w:rStyle w:val="45"/>
          <w:rFonts w:hint="eastAsia"/>
        </w:rPr>
        <w:t>3.4.6、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资审申请评审结果</w:t>
      </w:r>
      <w:r>
        <w:tab/>
      </w:r>
      <w:r>
        <w:fldChar w:fldCharType="begin"/>
      </w:r>
      <w:r>
        <w:instrText xml:space="preserve"> PAGEREF _Toc387137510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"_Toc387137511" </w:instrText>
      </w:r>
      <w:r>
        <w:fldChar w:fldCharType="separate"/>
      </w:r>
      <w:r>
        <w:rPr>
          <w:rStyle w:val="45"/>
          <w:rFonts w:hint="eastAsia"/>
        </w:rPr>
        <w:t>3.4.7、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资审结果通知书</w:t>
      </w:r>
      <w:r>
        <w:tab/>
      </w:r>
      <w:r>
        <w:fldChar w:fldCharType="begin"/>
      </w:r>
      <w:r>
        <w:instrText xml:space="preserve"> PAGEREF _Toc387137511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"_Toc387137512" </w:instrText>
      </w:r>
      <w:r>
        <w:fldChar w:fldCharType="separate"/>
      </w:r>
      <w:r>
        <w:rPr>
          <w:rStyle w:val="45"/>
          <w:rFonts w:hint="eastAsia"/>
        </w:rPr>
        <w:t>3.5、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发标</w:t>
      </w:r>
      <w:r>
        <w:tab/>
      </w:r>
      <w:r>
        <w:fldChar w:fldCharType="begin"/>
      </w:r>
      <w:r>
        <w:instrText xml:space="preserve"> PAGEREF _Toc387137512 \h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"_Toc387137513" </w:instrText>
      </w:r>
      <w:r>
        <w:fldChar w:fldCharType="separate"/>
      </w:r>
      <w:r>
        <w:rPr>
          <w:rStyle w:val="45"/>
          <w:rFonts w:hint="eastAsia"/>
        </w:rPr>
        <w:t>3.5.1、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开标场地、时间预约</w:t>
      </w:r>
      <w:r>
        <w:tab/>
      </w:r>
      <w:r>
        <w:fldChar w:fldCharType="begin"/>
      </w:r>
      <w:r>
        <w:instrText xml:space="preserve"> PAGEREF _Toc387137513 \h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"_Toc387137514" </w:instrText>
      </w:r>
      <w:r>
        <w:fldChar w:fldCharType="separate"/>
      </w:r>
      <w:r>
        <w:rPr>
          <w:rStyle w:val="45"/>
          <w:rFonts w:hint="eastAsia"/>
        </w:rPr>
        <w:t>3.5.2、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招标文件</w:t>
      </w:r>
      <w:r>
        <w:tab/>
      </w:r>
      <w:r>
        <w:fldChar w:fldCharType="begin"/>
      </w:r>
      <w:r>
        <w:instrText xml:space="preserve"> PAGEREF _Toc387137514 \h 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"_Toc387137515" </w:instrText>
      </w:r>
      <w:r>
        <w:fldChar w:fldCharType="separate"/>
      </w:r>
      <w:r>
        <w:rPr>
          <w:rStyle w:val="45"/>
          <w:rFonts w:hint="eastAsia"/>
        </w:rPr>
        <w:t>3.5.3、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图纸领取登记</w:t>
      </w:r>
      <w:r>
        <w:tab/>
      </w:r>
      <w:r>
        <w:fldChar w:fldCharType="begin"/>
      </w:r>
      <w:r>
        <w:instrText xml:space="preserve"> PAGEREF _Toc387137515 \h 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"_Toc387137516" </w:instrText>
      </w:r>
      <w:r>
        <w:fldChar w:fldCharType="separate"/>
      </w:r>
      <w:r>
        <w:rPr>
          <w:rStyle w:val="45"/>
          <w:rFonts w:hint="eastAsia"/>
        </w:rPr>
        <w:t>3.5.4、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提问回复（所有流程）</w:t>
      </w:r>
      <w:r>
        <w:tab/>
      </w:r>
      <w:r>
        <w:fldChar w:fldCharType="begin"/>
      </w:r>
      <w:r>
        <w:instrText xml:space="preserve"> PAGEREF _Toc387137516 \h 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"_Toc387137517" </w:instrText>
      </w:r>
      <w:r>
        <w:fldChar w:fldCharType="separate"/>
      </w:r>
      <w:r>
        <w:rPr>
          <w:rStyle w:val="45"/>
          <w:rFonts w:hint="eastAsia"/>
        </w:rPr>
        <w:t>3.5.5、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答疑澄清文件</w:t>
      </w:r>
      <w:r>
        <w:tab/>
      </w:r>
      <w:r>
        <w:fldChar w:fldCharType="begin"/>
      </w:r>
      <w:r>
        <w:instrText xml:space="preserve"> PAGEREF _Toc387137517 \h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"_Toc387137518" </w:instrText>
      </w:r>
      <w:r>
        <w:fldChar w:fldCharType="separate"/>
      </w:r>
      <w:r>
        <w:rPr>
          <w:rStyle w:val="45"/>
          <w:rFonts w:hint="eastAsia"/>
        </w:rPr>
        <w:t>3.5.6、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踏勘现场</w:t>
      </w:r>
      <w:r>
        <w:tab/>
      </w:r>
      <w:r>
        <w:fldChar w:fldCharType="begin"/>
      </w:r>
      <w:r>
        <w:instrText xml:space="preserve"> PAGEREF _Toc387137518 \h </w:instrText>
      </w:r>
      <w:r>
        <w:fldChar w:fldCharType="separate"/>
      </w:r>
      <w:r>
        <w:t>65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"_Toc387137519" </w:instrText>
      </w:r>
      <w:r>
        <w:fldChar w:fldCharType="separate"/>
      </w:r>
      <w:r>
        <w:rPr>
          <w:rStyle w:val="45"/>
          <w:rFonts w:hint="eastAsia"/>
        </w:rPr>
        <w:t>3.5.7、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控制价文件</w:t>
      </w:r>
      <w:r>
        <w:tab/>
      </w:r>
      <w:r>
        <w:fldChar w:fldCharType="begin"/>
      </w:r>
      <w:r>
        <w:instrText xml:space="preserve"> PAGEREF _Toc387137519 \h </w:instrText>
      </w:r>
      <w:r>
        <w:fldChar w:fldCharType="separate"/>
      </w:r>
      <w:r>
        <w:t>68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"_Toc387137520" </w:instrText>
      </w:r>
      <w:r>
        <w:fldChar w:fldCharType="separate"/>
      </w:r>
      <w:r>
        <w:rPr>
          <w:rStyle w:val="45"/>
          <w:rFonts w:hint="eastAsia"/>
        </w:rPr>
        <w:t>3.5.8、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招标人评委</w:t>
      </w:r>
      <w:r>
        <w:tab/>
      </w:r>
      <w:r>
        <w:fldChar w:fldCharType="begin"/>
      </w:r>
      <w:r>
        <w:instrText xml:space="preserve"> PAGEREF _Toc387137520 \h </w:instrText>
      </w:r>
      <w:r>
        <w:fldChar w:fldCharType="separate"/>
      </w:r>
      <w:r>
        <w:t>69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"_Toc387137521" </w:instrText>
      </w:r>
      <w:r>
        <w:fldChar w:fldCharType="separate"/>
      </w:r>
      <w:r>
        <w:rPr>
          <w:rStyle w:val="45"/>
          <w:rFonts w:hint="eastAsia"/>
        </w:rPr>
        <w:t>3.5.9、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组建评标委员会</w:t>
      </w:r>
      <w:r>
        <w:tab/>
      </w:r>
      <w:r>
        <w:fldChar w:fldCharType="begin"/>
      </w:r>
      <w:r>
        <w:instrText xml:space="preserve"> PAGEREF _Toc387137521 \h </w:instrText>
      </w:r>
      <w:r>
        <w:fldChar w:fldCharType="separate"/>
      </w:r>
      <w:r>
        <w:t>71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"_Toc387137522" </w:instrText>
      </w:r>
      <w:r>
        <w:fldChar w:fldCharType="separate"/>
      </w:r>
      <w:r>
        <w:rPr>
          <w:rStyle w:val="45"/>
          <w:rFonts w:hint="eastAsia"/>
        </w:rPr>
        <w:t>3.6、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开标评标</w:t>
      </w:r>
      <w:r>
        <w:tab/>
      </w:r>
      <w:r>
        <w:fldChar w:fldCharType="begin"/>
      </w:r>
      <w:r>
        <w:instrText xml:space="preserve"> PAGEREF _Toc387137522 \h </w:instrText>
      </w:r>
      <w:r>
        <w:fldChar w:fldCharType="separate"/>
      </w:r>
      <w:r>
        <w:t>74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"_Toc387137523" </w:instrText>
      </w:r>
      <w:r>
        <w:fldChar w:fldCharType="separate"/>
      </w:r>
      <w:r>
        <w:rPr>
          <w:rStyle w:val="45"/>
          <w:rFonts w:hint="eastAsia"/>
        </w:rPr>
        <w:t>3.6.1、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开标情况</w:t>
      </w:r>
      <w:r>
        <w:tab/>
      </w:r>
      <w:r>
        <w:fldChar w:fldCharType="begin"/>
      </w:r>
      <w:r>
        <w:instrText xml:space="preserve"> PAGEREF _Toc387137523 \h </w:instrText>
      </w:r>
      <w:r>
        <w:fldChar w:fldCharType="separate"/>
      </w:r>
      <w:r>
        <w:t>74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"_Toc387137524" </w:instrText>
      </w:r>
      <w:r>
        <w:fldChar w:fldCharType="separate"/>
      </w:r>
      <w:r>
        <w:rPr>
          <w:rStyle w:val="45"/>
          <w:rFonts w:hint="eastAsia"/>
        </w:rPr>
        <w:t>3.6.2、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评标情况</w:t>
      </w:r>
      <w:r>
        <w:tab/>
      </w:r>
      <w:r>
        <w:fldChar w:fldCharType="begin"/>
      </w:r>
      <w:r>
        <w:instrText xml:space="preserve"> PAGEREF _Toc387137524 \h </w:instrText>
      </w:r>
      <w:r>
        <w:fldChar w:fldCharType="separate"/>
      </w:r>
      <w:r>
        <w:t>76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"_Toc387137525" </w:instrText>
      </w:r>
      <w:r>
        <w:fldChar w:fldCharType="separate"/>
      </w:r>
      <w:r>
        <w:rPr>
          <w:rStyle w:val="45"/>
          <w:rFonts w:hint="eastAsia"/>
        </w:rPr>
        <w:t>3.6.3、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招标异常</w:t>
      </w:r>
      <w:r>
        <w:tab/>
      </w:r>
      <w:r>
        <w:fldChar w:fldCharType="begin"/>
      </w:r>
      <w:r>
        <w:instrText xml:space="preserve"> PAGEREF _Toc387137525 \h </w:instrText>
      </w:r>
      <w:r>
        <w:fldChar w:fldCharType="separate"/>
      </w:r>
      <w:r>
        <w:t>77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"_Toc387137526" </w:instrText>
      </w:r>
      <w:r>
        <w:fldChar w:fldCharType="separate"/>
      </w:r>
      <w:r>
        <w:rPr>
          <w:rStyle w:val="45"/>
          <w:rFonts w:hint="eastAsia"/>
        </w:rPr>
        <w:t>3.7、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定标</w:t>
      </w:r>
      <w:r>
        <w:tab/>
      </w:r>
      <w:r>
        <w:fldChar w:fldCharType="begin"/>
      </w:r>
      <w:r>
        <w:instrText xml:space="preserve"> PAGEREF _Toc387137526 \h </w:instrText>
      </w:r>
      <w:r>
        <w:fldChar w:fldCharType="separate"/>
      </w:r>
      <w:r>
        <w:t>81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"_Toc387137527" </w:instrText>
      </w:r>
      <w:r>
        <w:fldChar w:fldCharType="separate"/>
      </w:r>
      <w:r>
        <w:rPr>
          <w:rStyle w:val="45"/>
          <w:rFonts w:hint="eastAsia"/>
        </w:rPr>
        <w:t>3.7.1、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中标候选人公示</w:t>
      </w:r>
      <w:r>
        <w:tab/>
      </w:r>
      <w:r>
        <w:fldChar w:fldCharType="begin"/>
      </w:r>
      <w:r>
        <w:instrText xml:space="preserve"> PAGEREF _Toc387137527 \h </w:instrText>
      </w:r>
      <w:r>
        <w:fldChar w:fldCharType="separate"/>
      </w:r>
      <w:r>
        <w:t>81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"_Toc387137528" </w:instrText>
      </w:r>
      <w:r>
        <w:fldChar w:fldCharType="separate"/>
      </w:r>
      <w:r>
        <w:rPr>
          <w:rStyle w:val="45"/>
          <w:rFonts w:hint="eastAsia"/>
        </w:rPr>
        <w:t>3.7.2、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中标结果公告</w:t>
      </w:r>
      <w:r>
        <w:tab/>
      </w:r>
      <w:r>
        <w:fldChar w:fldCharType="begin"/>
      </w:r>
      <w:r>
        <w:instrText xml:space="preserve"> PAGEREF _Toc387137528 \h </w:instrText>
      </w:r>
      <w:r>
        <w:fldChar w:fldCharType="separate"/>
      </w:r>
      <w:r>
        <w:t>83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"_Toc387137529" </w:instrText>
      </w:r>
      <w:r>
        <w:fldChar w:fldCharType="separate"/>
      </w:r>
      <w:r>
        <w:rPr>
          <w:rStyle w:val="45"/>
          <w:rFonts w:hint="eastAsia"/>
        </w:rPr>
        <w:t>3.7.3、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中标通知书</w:t>
      </w:r>
      <w:r>
        <w:tab/>
      </w:r>
      <w:r>
        <w:fldChar w:fldCharType="begin"/>
      </w:r>
      <w:r>
        <w:instrText xml:space="preserve"> PAGEREF _Toc387137529 \h </w:instrText>
      </w:r>
      <w:r>
        <w:fldChar w:fldCharType="separate"/>
      </w:r>
      <w:r>
        <w:t>88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"_Toc387137530" </w:instrText>
      </w:r>
      <w:r>
        <w:fldChar w:fldCharType="separate"/>
      </w:r>
      <w:r>
        <w:rPr>
          <w:rStyle w:val="45"/>
          <w:rFonts w:hint="eastAsia"/>
        </w:rPr>
        <w:t>3.7.4、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电子档案</w:t>
      </w:r>
      <w:r>
        <w:tab/>
      </w:r>
      <w:r>
        <w:fldChar w:fldCharType="begin"/>
      </w:r>
      <w:r>
        <w:instrText xml:space="preserve"> PAGEREF _Toc387137530 \h </w:instrText>
      </w:r>
      <w:r>
        <w:fldChar w:fldCharType="separate"/>
      </w:r>
      <w:r>
        <w:t>91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"_Toc387137531" </w:instrText>
      </w:r>
      <w:r>
        <w:fldChar w:fldCharType="separate"/>
      </w:r>
      <w:r>
        <w:rPr>
          <w:rStyle w:val="45"/>
          <w:rFonts w:hint="eastAsia"/>
        </w:rPr>
        <w:t>3.7.5、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履约情况</w:t>
      </w:r>
      <w:r>
        <w:tab/>
      </w:r>
      <w:r>
        <w:fldChar w:fldCharType="begin"/>
      </w:r>
      <w:r>
        <w:instrText xml:space="preserve"> PAGEREF _Toc387137531 \h </w:instrText>
      </w:r>
      <w:r>
        <w:fldChar w:fldCharType="separate"/>
      </w:r>
      <w:r>
        <w:t>92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"_Toc387137532" </w:instrText>
      </w:r>
      <w:r>
        <w:fldChar w:fldCharType="separate"/>
      </w:r>
      <w:r>
        <w:rPr>
          <w:rStyle w:val="45"/>
          <w:rFonts w:hint="eastAsia"/>
        </w:rPr>
        <w:t>3.8、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特殊情况</w:t>
      </w:r>
      <w:r>
        <w:tab/>
      </w:r>
      <w:r>
        <w:fldChar w:fldCharType="begin"/>
      </w:r>
      <w:r>
        <w:instrText xml:space="preserve"> PAGEREF _Toc387137532 \h </w:instrText>
      </w:r>
      <w:r>
        <w:fldChar w:fldCharType="separate"/>
      </w:r>
      <w:r>
        <w:t>94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"_Toc387137533" </w:instrText>
      </w:r>
      <w:r>
        <w:fldChar w:fldCharType="separate"/>
      </w:r>
      <w:r>
        <w:rPr>
          <w:rStyle w:val="45"/>
          <w:rFonts w:hint="eastAsia"/>
        </w:rPr>
        <w:t>3.8.1、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开评标异常报告</w:t>
      </w:r>
      <w:r>
        <w:tab/>
      </w:r>
      <w:r>
        <w:fldChar w:fldCharType="begin"/>
      </w:r>
      <w:r>
        <w:instrText xml:space="preserve"> PAGEREF _Toc387137533 \h </w:instrText>
      </w:r>
      <w:r>
        <w:fldChar w:fldCharType="separate"/>
      </w:r>
      <w:r>
        <w:t>94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"_Toc387137534" </w:instrText>
      </w:r>
      <w:r>
        <w:fldChar w:fldCharType="separate"/>
      </w:r>
      <w:r>
        <w:rPr>
          <w:rStyle w:val="45"/>
          <w:rFonts w:hint="eastAsia"/>
        </w:rPr>
        <w:t>3.8.2、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异议回复</w:t>
      </w:r>
      <w:r>
        <w:tab/>
      </w:r>
      <w:r>
        <w:fldChar w:fldCharType="begin"/>
      </w:r>
      <w:r>
        <w:instrText xml:space="preserve"> PAGEREF _Toc387137534 \h </w:instrText>
      </w:r>
      <w:r>
        <w:fldChar w:fldCharType="separate"/>
      </w:r>
      <w:r>
        <w:t>95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"_Toc387137535" </w:instrText>
      </w:r>
      <w:r>
        <w:fldChar w:fldCharType="separate"/>
      </w:r>
      <w:r>
        <w:rPr>
          <w:rStyle w:val="45"/>
          <w:rFonts w:hint="eastAsia"/>
        </w:rPr>
        <w:t>3.8.3、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投诉</w:t>
      </w:r>
      <w:r>
        <w:tab/>
      </w:r>
      <w:r>
        <w:fldChar w:fldCharType="begin"/>
      </w:r>
      <w:r>
        <w:instrText xml:space="preserve"> PAGEREF _Toc387137535 \h </w:instrText>
      </w:r>
      <w:r>
        <w:fldChar w:fldCharType="separate"/>
      </w:r>
      <w:r>
        <w:t>96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"_Toc387137536" </w:instrText>
      </w:r>
      <w:r>
        <w:fldChar w:fldCharType="separate"/>
      </w:r>
      <w:r>
        <w:rPr>
          <w:rStyle w:val="45"/>
          <w:rFonts w:hint="eastAsia"/>
        </w:rPr>
        <w:t>3.9、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直接发包</w:t>
      </w:r>
      <w:r>
        <w:tab/>
      </w:r>
      <w:r>
        <w:fldChar w:fldCharType="begin"/>
      </w:r>
      <w:r>
        <w:instrText xml:space="preserve"> PAGEREF _Toc387137536 \h </w:instrText>
      </w:r>
      <w:r>
        <w:fldChar w:fldCharType="separate"/>
      </w:r>
      <w:r>
        <w:t>97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"_Toc387137537" </w:instrText>
      </w:r>
      <w:r>
        <w:fldChar w:fldCharType="separate"/>
      </w:r>
      <w:r>
        <w:rPr>
          <w:rStyle w:val="45"/>
          <w:rFonts w:hint="eastAsia"/>
        </w:rPr>
        <w:t>3.9.1、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交易结果（直接发包）</w:t>
      </w:r>
      <w:r>
        <w:tab/>
      </w:r>
      <w:r>
        <w:fldChar w:fldCharType="begin"/>
      </w:r>
      <w:r>
        <w:instrText xml:space="preserve"> PAGEREF _Toc387137537 \h </w:instrText>
      </w:r>
      <w:r>
        <w:fldChar w:fldCharType="separate"/>
      </w:r>
      <w:r>
        <w:t>97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"_Toc387137538" </w:instrText>
      </w:r>
      <w:r>
        <w:fldChar w:fldCharType="separate"/>
      </w:r>
      <w:r>
        <w:rPr>
          <w:rStyle w:val="45"/>
          <w:rFonts w:hint="eastAsia"/>
        </w:rPr>
        <w:t>3.9.2、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合同（直接发包）</w:t>
      </w:r>
      <w:r>
        <w:tab/>
      </w:r>
      <w:r>
        <w:fldChar w:fldCharType="begin"/>
      </w:r>
      <w:r>
        <w:instrText xml:space="preserve"> PAGEREF _Toc387137538 \h </w:instrText>
      </w:r>
      <w:r>
        <w:fldChar w:fldCharType="separate"/>
      </w:r>
      <w:r>
        <w:t>99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"_Toc387137539" </w:instrText>
      </w:r>
      <w:r>
        <w:fldChar w:fldCharType="separate"/>
      </w:r>
      <w:r>
        <w:rPr>
          <w:rStyle w:val="45"/>
          <w:rFonts w:hint="eastAsia"/>
        </w:rPr>
        <w:t>3.10、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费用管理</w:t>
      </w:r>
      <w:r>
        <w:tab/>
      </w:r>
      <w:r>
        <w:fldChar w:fldCharType="begin"/>
      </w:r>
      <w:r>
        <w:instrText xml:space="preserve"> PAGEREF _Toc387137539 \h </w:instrText>
      </w:r>
      <w:r>
        <w:fldChar w:fldCharType="separate"/>
      </w:r>
      <w:r>
        <w:t>100</w:t>
      </w:r>
      <w:r>
        <w:fldChar w:fldCharType="end"/>
      </w:r>
      <w:r>
        <w:fldChar w:fldCharType="end"/>
      </w:r>
    </w:p>
    <w:p>
      <w:pPr>
        <w:pStyle w:val="22"/>
        <w:tabs>
          <w:tab w:val="left" w:pos="1785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"_Toc387137540" </w:instrText>
      </w:r>
      <w:r>
        <w:fldChar w:fldCharType="separate"/>
      </w:r>
      <w:r>
        <w:rPr>
          <w:rStyle w:val="45"/>
          <w:rFonts w:hint="eastAsia"/>
        </w:rPr>
        <w:t>3.10.1、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银行帐号管理</w:t>
      </w:r>
      <w:r>
        <w:tab/>
      </w:r>
      <w:r>
        <w:fldChar w:fldCharType="begin"/>
      </w:r>
      <w:r>
        <w:instrText xml:space="preserve"> PAGEREF _Toc387137540 \h </w:instrText>
      </w:r>
      <w:r>
        <w:fldChar w:fldCharType="separate"/>
      </w:r>
      <w:r>
        <w:t>100</w:t>
      </w:r>
      <w:r>
        <w:fldChar w:fldCharType="end"/>
      </w:r>
      <w:r>
        <w:fldChar w:fldCharType="end"/>
      </w:r>
    </w:p>
    <w:p>
      <w:pPr>
        <w:pStyle w:val="22"/>
        <w:tabs>
          <w:tab w:val="left" w:pos="1785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"_Toc387137541" </w:instrText>
      </w:r>
      <w:r>
        <w:fldChar w:fldCharType="separate"/>
      </w:r>
      <w:r>
        <w:rPr>
          <w:rStyle w:val="45"/>
          <w:rFonts w:hint="eastAsia"/>
        </w:rPr>
        <w:t>3.10.2、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费用管理</w:t>
      </w:r>
      <w:r>
        <w:tab/>
      </w:r>
      <w:r>
        <w:fldChar w:fldCharType="begin"/>
      </w:r>
      <w:r>
        <w:instrText xml:space="preserve"> PAGEREF _Toc387137541 \h </w:instrText>
      </w:r>
      <w:r>
        <w:fldChar w:fldCharType="separate"/>
      </w:r>
      <w:r>
        <w:t>101</w:t>
      </w:r>
      <w:r>
        <w:fldChar w:fldCharType="end"/>
      </w:r>
      <w:r>
        <w:fldChar w:fldCharType="end"/>
      </w:r>
    </w:p>
    <w:p>
      <w:pPr>
        <w:pStyle w:val="22"/>
        <w:tabs>
          <w:tab w:val="left" w:pos="1785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"_Toc387137542" </w:instrText>
      </w:r>
      <w:r>
        <w:fldChar w:fldCharType="separate"/>
      </w:r>
      <w:r>
        <w:rPr>
          <w:rStyle w:val="45"/>
          <w:rFonts w:hint="eastAsia"/>
        </w:rPr>
        <w:t>3.10.3、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图纸押金</w:t>
      </w:r>
      <w:r>
        <w:tab/>
      </w:r>
      <w:r>
        <w:fldChar w:fldCharType="begin"/>
      </w:r>
      <w:r>
        <w:instrText xml:space="preserve"> PAGEREF _Toc387137542 \h </w:instrText>
      </w:r>
      <w:r>
        <w:fldChar w:fldCharType="separate"/>
      </w:r>
      <w:r>
        <w:t>105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"_Toc387137543" </w:instrText>
      </w:r>
      <w:r>
        <w:fldChar w:fldCharType="separate"/>
      </w:r>
      <w:r>
        <w:rPr>
          <w:rStyle w:val="45"/>
          <w:rFonts w:hint="eastAsia"/>
        </w:rPr>
        <w:t>3.11、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45"/>
          <w:rFonts w:hint="eastAsia"/>
        </w:rPr>
        <w:t>辅助管理</w:t>
      </w:r>
      <w:r>
        <w:tab/>
      </w:r>
      <w:r>
        <w:fldChar w:fldCharType="begin"/>
      </w:r>
      <w:r>
        <w:instrText xml:space="preserve"> PAGEREF _Toc387137543 \h </w:instrText>
      </w:r>
      <w:r>
        <w:fldChar w:fldCharType="separate"/>
      </w:r>
      <w:r>
        <w:t>105</w:t>
      </w:r>
      <w:r>
        <w:fldChar w:fldCharType="end"/>
      </w:r>
      <w:r>
        <w:fldChar w:fldCharType="end"/>
      </w:r>
    </w:p>
    <w:p>
      <w:pPr>
        <w:pStyle w:val="22"/>
        <w:tabs>
          <w:tab w:val="left" w:pos="1777"/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"_Toc387137544" </w:instrText>
      </w:r>
      <w:r>
        <w:fldChar w:fldCharType="separate"/>
      </w:r>
      <w:r>
        <w:rPr>
          <w:rStyle w:val="45"/>
          <w:rFonts w:hint="eastAsia"/>
        </w:rPr>
        <w:t>3.11.1、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45"/>
          <w:rFonts w:hint="eastAsia"/>
        </w:rPr>
        <w:t>文件下载领取查看</w:t>
      </w:r>
      <w:r>
        <w:tab/>
      </w:r>
      <w:r>
        <w:fldChar w:fldCharType="begin"/>
      </w:r>
      <w:r>
        <w:instrText xml:space="preserve"> PAGEREF _Toc387137544 \h </w:instrText>
      </w:r>
      <w:r>
        <w:fldChar w:fldCharType="separate"/>
      </w:r>
      <w:r>
        <w:t>105</w:t>
      </w:r>
      <w:r>
        <w:fldChar w:fldCharType="end"/>
      </w:r>
      <w:r>
        <w:fldChar w:fldCharType="end"/>
      </w: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 w:val="21"/>
          <w:szCs w:val="20"/>
        </w:rPr>
        <w:fldChar w:fldCharType="end"/>
      </w: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88"/>
        <w:spacing w:line="240" w:lineRule="auto"/>
        <w:ind w:firstLine="0" w:firstLineChars="0"/>
      </w:pPr>
    </w:p>
    <w:p>
      <w:pPr>
        <w:pStyle w:val="2"/>
      </w:pPr>
      <w:bookmarkStart w:id="0" w:name="_Toc387137469"/>
      <w:r>
        <w:rPr>
          <w:rFonts w:hint="eastAsia"/>
        </w:rPr>
        <w:t>公共模块概述</w:t>
      </w:r>
      <w:bookmarkEnd w:id="0"/>
    </w:p>
    <w:p>
      <w:pPr>
        <w:pStyle w:val="3"/>
      </w:pPr>
      <w:bookmarkStart w:id="1" w:name="_Toc387137470"/>
      <w:r>
        <w:rPr>
          <w:rFonts w:hint="eastAsia"/>
        </w:rPr>
        <w:t>登录交易平台</w:t>
      </w:r>
      <w:bookmarkEnd w:id="1"/>
    </w:p>
    <w:p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>
      <w:r>
        <w:rPr>
          <w:rFonts w:hint="eastAsia"/>
        </w:rPr>
        <w:t>1、招标代理已经开通了帐号,获得了有效的CA证书，并且已经在中心激活了。</w:t>
      </w:r>
    </w:p>
    <w:p>
      <w:r>
        <w:rPr>
          <w:rFonts w:hint="eastAsia"/>
        </w:rPr>
        <w:t>2、招标代理完成了信息的录入，并且中心已经审核通过。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输入用户名和密码，点击“登录”。（如果有CA证书，则插入CA证书点击证书登录）。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8595" cy="28003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2、成功登录后，可以进入投标交易平台，如下图：</w:t>
      </w:r>
    </w:p>
    <w:p>
      <w:pPr>
        <w:pStyle w:val="123"/>
      </w:pPr>
      <w:r>
        <w:drawing>
          <wp:inline distT="0" distB="0" distL="0" distR="0">
            <wp:extent cx="5278120" cy="28435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</w:p>
    <w:p>
      <w:pPr>
        <w:pStyle w:val="3"/>
      </w:pPr>
      <w:bookmarkStart w:id="2" w:name="_Toc387137471"/>
      <w:r>
        <w:rPr>
          <w:rFonts w:hint="eastAsia"/>
        </w:rPr>
        <w:t>最新消息</w:t>
      </w:r>
      <w:bookmarkEnd w:id="2"/>
    </w:p>
    <w:p>
      <w:r>
        <w:rPr>
          <w:rFonts w:hint="eastAsia"/>
        </w:rPr>
        <w:t>“最新消息”功能，如中标通知书、异议通知、招标结果通知书等消息推送到此栏目查看具体内容。</w:t>
      </w:r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1、接收招标办的通知信息，如下图：</w:t>
      </w:r>
    </w:p>
    <w:p>
      <w:pPr>
        <w:pStyle w:val="123"/>
      </w:pPr>
      <w:r>
        <w:drawing>
          <wp:inline distT="0" distB="0" distL="0" distR="0">
            <wp:extent cx="5278120" cy="2238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ind w:firstLine="420" w:firstLineChars="200"/>
      </w:pPr>
      <w:r>
        <w:rPr>
          <w:rFonts w:hint="eastAsia"/>
        </w:rPr>
        <w:t>2、点击信息标题，可以进入查看信息具体内容，如下图：</w:t>
      </w:r>
      <w:r>
        <w:drawing>
          <wp:inline distT="0" distB="0" distL="0" distR="0">
            <wp:extent cx="5276850" cy="11049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b="536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</w:p>
    <w:p>
      <w:pPr>
        <w:pStyle w:val="123"/>
      </w:pPr>
    </w:p>
    <w:p>
      <w:pPr>
        <w:pStyle w:val="3"/>
      </w:pPr>
      <w:bookmarkStart w:id="3" w:name="_Toc387137472"/>
      <w:r>
        <w:rPr>
          <w:rFonts w:hint="eastAsia"/>
        </w:rPr>
        <w:t>菜单快捷方式</w:t>
      </w:r>
      <w:bookmarkEnd w:id="3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1、会员可以点击菜单快捷方式图标进入相应页面，如下图：</w:t>
      </w:r>
    </w:p>
    <w:p>
      <w:pPr>
        <w:pStyle w:val="123"/>
      </w:pPr>
      <w:r>
        <w:drawing>
          <wp:inline distT="0" distB="0" distL="0" distR="0">
            <wp:extent cx="5278120" cy="22307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</w:p>
    <w:p>
      <w:pPr>
        <w:pStyle w:val="3"/>
      </w:pPr>
      <w:bookmarkStart w:id="4" w:name="_Toc387137473"/>
      <w:r>
        <w:rPr>
          <w:rFonts w:hint="eastAsia"/>
        </w:rPr>
        <w:t>开标提醒</w:t>
      </w:r>
      <w:bookmarkEnd w:id="4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1、招标代理在首页面可以看到今日开标的标段信息，也可以点击相应标段，查看开标信息，如下图：</w:t>
      </w:r>
    </w:p>
    <w:p>
      <w:pPr>
        <w:pStyle w:val="123"/>
      </w:pPr>
      <w:r>
        <w:drawing>
          <wp:inline distT="0" distB="0" distL="0" distR="0">
            <wp:extent cx="5278120" cy="2222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</w:p>
    <w:p>
      <w:pPr>
        <w:pStyle w:val="123"/>
      </w:pPr>
    </w:p>
    <w:p>
      <w:pPr>
        <w:pStyle w:val="3"/>
      </w:pPr>
      <w:bookmarkStart w:id="5" w:name="_Toc387137474"/>
      <w:r>
        <w:rPr>
          <w:rFonts w:hint="eastAsia"/>
        </w:rPr>
        <w:t>本月新增</w:t>
      </w:r>
      <w:bookmarkEnd w:id="5"/>
    </w:p>
    <w:p>
      <w:r>
        <w:rPr>
          <w:rFonts w:hint="eastAsia"/>
        </w:rPr>
        <w:t>功能说明：是招标代理对本月参加招标项目及标段数据的数量统计，如下图：</w:t>
      </w:r>
    </w:p>
    <w:p>
      <w:pPr>
        <w:ind w:firstLine="0" w:firstLineChars="0"/>
      </w:pPr>
      <w:r>
        <w:drawing>
          <wp:inline distT="0" distB="0" distL="0" distR="0">
            <wp:extent cx="5278120" cy="22250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sz w:val="28"/>
        </w:rPr>
      </w:pPr>
      <w:bookmarkStart w:id="6" w:name="_Toc453061830"/>
      <w:bookmarkStart w:id="7" w:name="_Toc490667309"/>
      <w:bookmarkStart w:id="8" w:name="_Toc346183627"/>
      <w:bookmarkStart w:id="9" w:name="_Toc346701723"/>
      <w:r>
        <w:rPr>
          <w:sz w:val="28"/>
        </w:rPr>
        <w:t>系统前期准备</w:t>
      </w:r>
      <w:bookmarkEnd w:id="6"/>
      <w:bookmarkEnd w:id="7"/>
      <w:bookmarkEnd w:id="8"/>
      <w:bookmarkEnd w:id="9"/>
    </w:p>
    <w:p>
      <w:pPr>
        <w:pStyle w:val="3"/>
        <w:ind w:left="777" w:right="210"/>
        <w:rPr>
          <w:sz w:val="28"/>
          <w:szCs w:val="28"/>
        </w:rPr>
      </w:pPr>
      <w:bookmarkStart w:id="10" w:name="_Toc490667310"/>
      <w:r>
        <w:rPr>
          <w:rFonts w:hint="eastAsia"/>
          <w:sz w:val="28"/>
          <w:szCs w:val="28"/>
        </w:rPr>
        <w:t>CA驱动安装说明</w:t>
      </w:r>
      <w:bookmarkEnd w:id="10"/>
    </w:p>
    <w:p>
      <w:pPr>
        <w:numPr>
          <w:ilvl w:val="0"/>
          <w:numId w:val="3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首先进入青海省电子招标投标公共服务平台：</w:t>
      </w:r>
      <w:r>
        <w:rPr>
          <w:sz w:val="28"/>
          <w:szCs w:val="28"/>
        </w:rPr>
        <w:t>http://111.44.251.34/fwpt/</w:t>
      </w:r>
      <w:r>
        <w:rPr>
          <w:rFonts w:hint="eastAsia"/>
          <w:sz w:val="28"/>
          <w:szCs w:val="28"/>
        </w:rPr>
        <w:t>进入电子交易平台，点击交易平台进入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280416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2819400"/>
            <wp:effectExtent l="0" t="0" r="825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2、进入电子交易平台后选择进入对应交易系统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2711450"/>
            <wp:effectExtent l="0" t="0" r="8255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若已经注册过，则可点击“企业会员系统”模块进入会员端系统，输入账号密码登录。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若之前没有注册，则点击“会员网上注册”的模块进入会员端登记入库页面：</w:t>
      </w:r>
    </w:p>
    <w:p>
      <w:pPr>
        <w:numPr>
          <w:ilvl w:val="0"/>
          <w:numId w:val="4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点击手册下载，阅读操作手册</w:t>
      </w:r>
    </w:p>
    <w:p>
      <w:pPr>
        <w:ind w:left="360"/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8595" cy="28155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点击“驱动下载”，下载驱动安装包。</w:t>
      </w:r>
    </w:p>
    <w:p>
      <w:pPr>
        <w:ind w:left="360"/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8595" cy="2819400"/>
            <wp:effectExtent l="0" t="0" r="825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pacing w:val="4"/>
          <w:sz w:val="28"/>
          <w:szCs w:val="28"/>
        </w:rPr>
      </w:pPr>
      <w:r>
        <w:rPr>
          <w:rFonts w:hint="eastAsia"/>
          <w:spacing w:val="4"/>
          <w:sz w:val="28"/>
          <w:szCs w:val="28"/>
        </w:rPr>
        <w:t>5、下载完成后，</w:t>
      </w:r>
      <w:r>
        <w:rPr>
          <w:spacing w:val="4"/>
          <w:sz w:val="28"/>
          <w:szCs w:val="28"/>
        </w:rPr>
        <w:t>双击安装程序</w:t>
      </w:r>
      <w:r>
        <w:rPr>
          <w:spacing w:val="4"/>
          <w:sz w:val="28"/>
          <w:szCs w:val="28"/>
        </w:rPr>
        <w:drawing>
          <wp:inline distT="0" distB="0" distL="114300" distR="114300">
            <wp:extent cx="962025" cy="1085850"/>
            <wp:effectExtent l="0" t="0" r="9525" b="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  <w:sz w:val="28"/>
          <w:szCs w:val="28"/>
        </w:rPr>
        <w:t>，进入安装页面。</w:t>
      </w:r>
    </w:p>
    <w:p>
      <w:pPr>
        <w:ind w:left="796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4745990" cy="3679190"/>
            <wp:effectExtent l="0" t="0" r="16510" b="1651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pacing w:val="4"/>
          <w:sz w:val="28"/>
          <w:szCs w:val="28"/>
        </w:rPr>
      </w:pPr>
      <w:r>
        <w:rPr>
          <w:rFonts w:hint="eastAsia"/>
          <w:spacing w:val="4"/>
          <w:sz w:val="28"/>
          <w:szCs w:val="28"/>
        </w:rPr>
        <w:t>6、</w:t>
      </w:r>
      <w:r>
        <w:rPr>
          <w:spacing w:val="4"/>
          <w:sz w:val="28"/>
          <w:szCs w:val="28"/>
        </w:rPr>
        <w:t>点击</w:t>
      </w:r>
      <w:r>
        <w:rPr>
          <w:spacing w:val="4"/>
          <w:sz w:val="28"/>
          <w:szCs w:val="28"/>
        </w:rPr>
        <w:drawing>
          <wp:inline distT="0" distB="0" distL="114300" distR="114300">
            <wp:extent cx="923925" cy="304800"/>
            <wp:effectExtent l="0" t="0" r="9525" b="0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  <w:sz w:val="28"/>
          <w:szCs w:val="28"/>
        </w:rPr>
        <w:t>，进入</w:t>
      </w:r>
      <w:r>
        <w:rPr>
          <w:rFonts w:hint="eastAsia"/>
          <w:spacing w:val="4"/>
          <w:sz w:val="28"/>
          <w:szCs w:val="28"/>
        </w:rPr>
        <w:t>安装</w:t>
      </w:r>
      <w:r>
        <w:rPr>
          <w:spacing w:val="4"/>
          <w:sz w:val="28"/>
          <w:szCs w:val="28"/>
        </w:rPr>
        <w:t>。</w:t>
      </w:r>
    </w:p>
    <w:p>
      <w:pPr>
        <w:ind w:left="796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4712970" cy="3641725"/>
            <wp:effectExtent l="0" t="0" r="11430" b="1587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pacing w:val="4"/>
          <w:sz w:val="28"/>
          <w:szCs w:val="28"/>
        </w:rPr>
      </w:pPr>
      <w:r>
        <w:rPr>
          <w:rFonts w:hint="eastAsia"/>
          <w:spacing w:val="4"/>
          <w:sz w:val="28"/>
          <w:szCs w:val="28"/>
        </w:rPr>
        <w:t>7.弹出行助手电子签章，点击</w:t>
      </w:r>
      <w:r>
        <w:rPr>
          <w:rFonts w:hint="eastAsia"/>
          <w:spacing w:val="4"/>
          <w:sz w:val="28"/>
          <w:szCs w:val="28"/>
        </w:rPr>
        <w:drawing>
          <wp:inline distT="0" distB="0" distL="114300" distR="114300">
            <wp:extent cx="771525" cy="304800"/>
            <wp:effectExtent l="0" t="0" r="9525" b="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96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3828415" cy="1419225"/>
            <wp:effectExtent l="0" t="0" r="635" b="9525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pacing w:val="4"/>
          <w:sz w:val="28"/>
          <w:szCs w:val="28"/>
        </w:rPr>
      </w:pPr>
      <w:r>
        <w:rPr>
          <w:rFonts w:hint="eastAsia"/>
          <w:spacing w:val="4"/>
          <w:sz w:val="28"/>
          <w:szCs w:val="28"/>
        </w:rPr>
        <w:t>8.进入行助手安装过程</w:t>
      </w:r>
    </w:p>
    <w:p>
      <w:pPr>
        <w:ind w:left="796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4822190" cy="3402330"/>
            <wp:effectExtent l="0" t="0" r="16510" b="7620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9.整个驱动安装完成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885690" cy="3809365"/>
            <wp:effectExtent l="0" t="0" r="10160" b="635"/>
            <wp:docPr id="7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777" w:right="210"/>
        <w:rPr>
          <w:sz w:val="28"/>
          <w:szCs w:val="28"/>
        </w:rPr>
      </w:pPr>
      <w:bookmarkStart w:id="11" w:name="_Toc346701735"/>
      <w:bookmarkStart w:id="12" w:name="_Toc453061831"/>
      <w:bookmarkStart w:id="13" w:name="_Toc490667311"/>
      <w:r>
        <w:rPr>
          <w:sz w:val="28"/>
          <w:szCs w:val="28"/>
        </w:rPr>
        <w:t>浏览器配置</w:t>
      </w:r>
      <w:bookmarkEnd w:id="11"/>
      <w:bookmarkEnd w:id="12"/>
      <w:r>
        <w:rPr>
          <w:rFonts w:hint="eastAsia"/>
          <w:sz w:val="28"/>
          <w:szCs w:val="28"/>
        </w:rPr>
        <w:t>（IE一键设置小助手）</w:t>
      </w:r>
      <w:bookmarkEnd w:id="13"/>
    </w:p>
    <w:p>
      <w:pPr>
        <w:pStyle w:val="4"/>
        <w:rPr>
          <w:szCs w:val="28"/>
        </w:rPr>
      </w:pPr>
      <w:bookmarkStart w:id="14" w:name="_Toc490667312"/>
      <w:bookmarkStart w:id="15" w:name="_Toc346701736"/>
      <w:bookmarkStart w:id="16" w:name="_Toc453061832"/>
      <w:r>
        <w:rPr>
          <w:szCs w:val="28"/>
        </w:rPr>
        <w:t>Internet选项</w:t>
      </w:r>
      <w:bookmarkEnd w:id="14"/>
      <w:bookmarkEnd w:id="15"/>
      <w:bookmarkEnd w:id="16"/>
    </w:p>
    <w:p>
      <w:pPr>
        <w:spacing w:line="360" w:lineRule="auto"/>
        <w:ind w:firstLine="576" w:firstLineChars="20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为了让系统插件能够正常工作，请按照以下步骤进行浏览器的配置。</w:t>
      </w:r>
    </w:p>
    <w:p>
      <w:pPr>
        <w:spacing w:line="360" w:lineRule="auto"/>
        <w:ind w:firstLine="42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1、打开浏览器</w:t>
      </w:r>
      <w:r>
        <w:rPr>
          <w:rFonts w:ascii="宋体" w:hAnsi="宋体"/>
          <w:spacing w:val="4"/>
          <w:sz w:val="28"/>
          <w:szCs w:val="28"/>
        </w:rPr>
        <w:t>，在</w:t>
      </w:r>
      <w:r>
        <w:rPr>
          <w:rFonts w:ascii="宋体" w:hAnsi="宋体"/>
          <w:sz w:val="28"/>
          <w:szCs w:val="28"/>
        </w:rPr>
        <w:t>“工</w:t>
      </w:r>
      <w:r>
        <w:rPr>
          <w:rFonts w:ascii="宋体" w:hAnsi="宋体"/>
          <w:spacing w:val="4"/>
          <w:sz w:val="28"/>
          <w:szCs w:val="28"/>
        </w:rPr>
        <w:t>具”菜单→“Internet选项”</w:t>
      </w:r>
    </w:p>
    <w:p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3562350" cy="3152775"/>
            <wp:effectExtent l="0" t="0" r="0" b="9525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2914650" cy="3476625"/>
            <wp:effectExtent l="0" t="0" r="0" b="952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  <w:sz w:val="28"/>
          <w:szCs w:val="28"/>
        </w:rPr>
      </w:pPr>
    </w:p>
    <w:p>
      <w:pPr>
        <w:spacing w:line="360" w:lineRule="auto"/>
        <w:ind w:firstLine="576" w:firstLineChars="20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3、</w:t>
      </w:r>
      <w:r>
        <w:rPr>
          <w:rFonts w:ascii="宋体" w:hAnsi="宋体"/>
          <w:spacing w:val="4"/>
          <w:sz w:val="28"/>
          <w:szCs w:val="28"/>
        </w:rPr>
        <w:t>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3638550" cy="3971925"/>
            <wp:effectExtent l="0" t="0" r="0" b="9525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4、点</w:t>
      </w:r>
      <w:r>
        <w:rPr>
          <w:rFonts w:ascii="宋体" w:hAnsi="宋体"/>
          <w:spacing w:val="4"/>
          <w:sz w:val="28"/>
          <w:szCs w:val="28"/>
        </w:rPr>
        <w:t xml:space="preserve">击“站点” </w:t>
      </w:r>
      <w:r>
        <w:rPr>
          <w:spacing w:val="4"/>
          <w:sz w:val="28"/>
          <w:szCs w:val="28"/>
        </w:rPr>
        <w:t>按钮，出现如下对话框：</w:t>
      </w:r>
    </w:p>
    <w:p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3895725" cy="3105150"/>
            <wp:effectExtent l="0" t="0" r="9525" b="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输入系统服务器的IP地址，格式例如：</w:t>
      </w:r>
      <w:r>
        <w:rPr>
          <w:rFonts w:hint="eastAsia"/>
          <w:spacing w:val="4"/>
          <w:sz w:val="28"/>
          <w:szCs w:val="28"/>
        </w:rPr>
        <w:t>ggzy.weifang.gov.cn</w:t>
      </w:r>
      <w:r>
        <w:rPr>
          <w:spacing w:val="4"/>
          <w:sz w:val="28"/>
          <w:szCs w:val="28"/>
        </w:rPr>
        <w:t>，然后点击“添加”按钮完成添加，再按“关闭”按钮退出。</w:t>
      </w:r>
    </w:p>
    <w:p>
      <w:pPr>
        <w:spacing w:line="360" w:lineRule="auto"/>
        <w:ind w:firstLine="576" w:firstLineChars="20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5、设置自定义安全级别，开放Activex的访问权限：</w:t>
      </w:r>
    </w:p>
    <w:p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3543300" cy="4200525"/>
            <wp:effectExtent l="0" t="0" r="0" b="9525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76" w:firstLineChars="20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①会出现一个窗口，把其中的Activex控件和插件的设置全部改为启用。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4114800" cy="3829050"/>
            <wp:effectExtent l="0" t="0" r="0" b="0"/>
            <wp:docPr id="2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②文件下载设置，开放文件下载的权限：设置为启用。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spacing w:val="4"/>
          <w:sz w:val="28"/>
          <w:szCs w:val="28"/>
        </w:rPr>
        <w:drawing>
          <wp:inline distT="0" distB="0" distL="114300" distR="114300">
            <wp:extent cx="3524250" cy="3705225"/>
            <wp:effectExtent l="0" t="0" r="0" b="9525"/>
            <wp:docPr id="9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pStyle w:val="4"/>
        <w:rPr>
          <w:szCs w:val="28"/>
        </w:rPr>
      </w:pPr>
      <w:bookmarkStart w:id="17" w:name="_Toc346701737"/>
      <w:bookmarkStart w:id="18" w:name="_Toc453061833"/>
      <w:bookmarkStart w:id="19" w:name="_Toc490667313"/>
      <w:r>
        <w:rPr>
          <w:szCs w:val="28"/>
        </w:rPr>
        <w:t>关闭拦截工具</w:t>
      </w:r>
      <w:bookmarkEnd w:id="17"/>
      <w:bookmarkEnd w:id="18"/>
      <w:bookmarkEnd w:id="19"/>
    </w:p>
    <w:p>
      <w:pPr>
        <w:spacing w:line="360" w:lineRule="auto"/>
        <w:ind w:firstLine="420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88"/>
        <w:spacing w:line="360" w:lineRule="auto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95875" cy="2324100"/>
            <wp:effectExtent l="0" t="0" r="9525" b="0"/>
            <wp:docPr id="9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88"/>
        <w:ind w:firstLine="0" w:firstLineChars="0"/>
        <w:rPr>
          <w:b/>
          <w:spacing w:val="4"/>
        </w:rPr>
      </w:pPr>
    </w:p>
    <w:p>
      <w:pPr>
        <w:pStyle w:val="3"/>
      </w:pPr>
      <w:bookmarkStart w:id="20" w:name="_Toc346183633"/>
      <w:bookmarkStart w:id="21" w:name="_Toc387137481"/>
      <w:r>
        <w:t>检测工具</w:t>
      </w:r>
      <w:bookmarkEnd w:id="20"/>
      <w:bookmarkEnd w:id="21"/>
    </w:p>
    <w:p>
      <w:pPr>
        <w:pStyle w:val="4"/>
      </w:pPr>
      <w:bookmarkStart w:id="22" w:name="_Toc346183634"/>
      <w:bookmarkStart w:id="23" w:name="_Toc387137482"/>
      <w:r>
        <w:t>启动检测工具</w:t>
      </w:r>
      <w:bookmarkEnd w:id="22"/>
      <w:bookmarkEnd w:id="23"/>
    </w:p>
    <w:p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>
      <w:pPr>
        <w:pStyle w:val="88"/>
        <w:ind w:firstLine="0" w:firstLineChars="0"/>
        <w:rPr>
          <w:b/>
          <w:spacing w:val="4"/>
        </w:rPr>
      </w:pPr>
      <w:r>
        <w:drawing>
          <wp:inline distT="0" distB="0" distL="114300" distR="114300">
            <wp:extent cx="742950" cy="88582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0" w:firstLineChars="0"/>
        <w:rPr>
          <w:b/>
          <w:spacing w:val="4"/>
        </w:rPr>
      </w:pPr>
    </w:p>
    <w:p>
      <w:pPr>
        <w:pStyle w:val="4"/>
      </w:pPr>
      <w:bookmarkStart w:id="24" w:name="_Toc346183635"/>
      <w:bookmarkStart w:id="25" w:name="_Toc387137483"/>
      <w:r>
        <w:t>系统检测</w:t>
      </w:r>
      <w:bookmarkEnd w:id="24"/>
      <w:bookmarkEnd w:id="25"/>
    </w:p>
    <w:p>
      <w:pPr>
        <w:pStyle w:val="123"/>
      </w:pPr>
      <w:r>
        <w:drawing>
          <wp:inline distT="0" distB="0" distL="114300" distR="114300">
            <wp:extent cx="5276215" cy="5449570"/>
            <wp:effectExtent l="0" t="0" r="635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44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该页面主要是进行可信任站点的设置。</w:t>
      </w:r>
    </w:p>
    <w:p>
      <w:pPr>
        <w:ind w:firstLine="436"/>
      </w:pPr>
      <w:r>
        <w:rPr>
          <w:spacing w:val="4"/>
        </w:rPr>
        <w:t>如果显示都是“已加入”，就证明已经设置成功。</w:t>
      </w:r>
    </w:p>
    <w:p>
      <w:pPr>
        <w:pStyle w:val="88"/>
        <w:ind w:firstLine="0" w:firstLineChars="0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如果没有设置成功，请点击加入可信站点按钮</w:t>
      </w:r>
      <w:r>
        <w:rPr>
          <w:spacing w:val="4"/>
        </w:rPr>
        <w:drawing>
          <wp:inline distT="0" distB="0" distL="0" distR="0">
            <wp:extent cx="1333500" cy="476250"/>
            <wp:effectExtent l="0" t="0" r="0" b="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即可。</w:t>
      </w:r>
    </w:p>
    <w:p>
      <w:pPr>
        <w:ind w:firstLine="436"/>
        <w:rPr>
          <w:spacing w:val="4"/>
        </w:rPr>
      </w:pPr>
    </w:p>
    <w:p>
      <w:pPr>
        <w:pStyle w:val="4"/>
      </w:pPr>
      <w:bookmarkStart w:id="26" w:name="_Toc346183636"/>
      <w:bookmarkStart w:id="27" w:name="_Toc387137484"/>
      <w:r>
        <w:t>控件检测</w:t>
      </w:r>
      <w:bookmarkEnd w:id="26"/>
      <w:bookmarkEnd w:id="27"/>
    </w:p>
    <w:p>
      <w:pPr>
        <w:pStyle w:val="123"/>
      </w:pPr>
      <w:r>
        <w:drawing>
          <wp:inline distT="0" distB="0" distL="114300" distR="114300">
            <wp:extent cx="5274310" cy="5455920"/>
            <wp:effectExtent l="0" t="0" r="254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其中证书Key驱动，需要把您的证书Key插好以后才可以检测出来。</w:t>
      </w:r>
    </w:p>
    <w:p>
      <w:pPr>
        <w:pStyle w:val="88"/>
        <w:ind w:firstLine="0" w:firstLineChars="0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0" t="0" r="0" b="952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0" w:firstLineChars="0"/>
        <w:rPr>
          <w:b/>
          <w:spacing w:val="4"/>
          <w:sz w:val="21"/>
        </w:rPr>
      </w:pPr>
    </w:p>
    <w:p>
      <w:pPr>
        <w:pStyle w:val="4"/>
      </w:pPr>
      <w:bookmarkStart w:id="28" w:name="_Toc346183637"/>
      <w:bookmarkStart w:id="29" w:name="_Toc387137485"/>
      <w:r>
        <w:t>证书检测</w:t>
      </w:r>
      <w:bookmarkEnd w:id="28"/>
      <w:bookmarkEnd w:id="29"/>
    </w:p>
    <w:p>
      <w:pPr>
        <w:pStyle w:val="121"/>
      </w:pPr>
      <w:r>
        <w:drawing>
          <wp:inline distT="0" distB="0" distL="0" distR="0">
            <wp:extent cx="3314700" cy="2990850"/>
            <wp:effectExtent l="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用户可以点击“立即检测”，选择证书，输入Pin码，可以检测该证书Key是否可以正常使用。</w:t>
      </w:r>
    </w:p>
    <w:p>
      <w:pPr>
        <w:ind w:firstLine="545" w:firstLineChars="250"/>
        <w:rPr>
          <w:spacing w:val="4"/>
        </w:rPr>
      </w:pPr>
      <w:r>
        <w:rPr>
          <w:spacing w:val="4"/>
        </w:rPr>
        <w:t>如果出现以下提示，则表示您的证书Key是可以正常使用的，如下图：</w:t>
      </w:r>
    </w:p>
    <w:p>
      <w:pPr>
        <w:pStyle w:val="121"/>
      </w:pPr>
      <w:r>
        <w:drawing>
          <wp:inline distT="0" distB="0" distL="0" distR="0">
            <wp:extent cx="3514725" cy="1657350"/>
            <wp:effectExtent l="0" t="0" r="9525" b="0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45" w:firstLineChars="250"/>
      </w:pPr>
      <w:r>
        <w:rPr>
          <w:spacing w:val="4"/>
        </w:rP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pStyle w:val="121"/>
      </w:pPr>
      <w:r>
        <w:drawing>
          <wp:inline distT="0" distB="0" distL="0" distR="0">
            <wp:extent cx="3429000" cy="1562100"/>
            <wp:effectExtent l="0" t="0" r="0" b="0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346183638"/>
      <w:bookmarkStart w:id="31" w:name="_Toc387137486"/>
      <w:r>
        <w:t>签章检测</w:t>
      </w:r>
      <w:bookmarkEnd w:id="30"/>
      <w:bookmarkEnd w:id="31"/>
    </w:p>
    <w:p>
      <w:pPr>
        <w:pStyle w:val="121"/>
      </w:pPr>
      <w:r>
        <w:drawing>
          <wp:inline distT="0" distB="0" distL="0" distR="0">
            <wp:extent cx="5276850" cy="2771775"/>
            <wp:effectExtent l="0" t="0" r="0" b="9525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此页面是用于测试证书Key是否可以正常盖章，请点击</w:t>
      </w:r>
      <w:r>
        <w:rPr>
          <w:spacing w:val="4"/>
        </w:rPr>
        <w:drawing>
          <wp:inline distT="0" distB="0" distL="0" distR="0">
            <wp:extent cx="285750" cy="295275"/>
            <wp:effectExtent l="0" t="0" r="0" b="9525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，在出现的窗口中，选择签章的名称和签章的模式，并输入您的证书Key的密码，点击确定按钮。</w:t>
      </w:r>
    </w:p>
    <w:p>
      <w:pPr>
        <w:pStyle w:val="121"/>
      </w:pPr>
      <w:r>
        <w:drawing>
          <wp:inline distT="0" distB="0" distL="0" distR="0">
            <wp:extent cx="2343150" cy="2838450"/>
            <wp:effectExtent l="0" t="0" r="0" b="0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如果能成功加盖印章，并且有勾显示，则证明您的证书Key没有问题。</w:t>
      </w:r>
    </w:p>
    <w:p>
      <w:pPr>
        <w:pStyle w:val="121"/>
      </w:pPr>
      <w:r>
        <w:drawing>
          <wp:inline distT="0" distB="0" distL="0" distR="0">
            <wp:extent cx="2819400" cy="1143000"/>
            <wp:effectExtent l="0" t="0" r="0" b="0"/>
            <wp:docPr id="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如果出现其他的提示，请及时和该项目CA联系。</w:t>
      </w:r>
    </w:p>
    <w:p>
      <w:pPr>
        <w:ind w:firstLine="422"/>
        <w:rPr>
          <w:b/>
        </w:rPr>
      </w:pPr>
    </w:p>
    <w:p>
      <w:pPr>
        <w:pStyle w:val="2"/>
      </w:pPr>
      <w:bookmarkStart w:id="32" w:name="_Toc225152729"/>
      <w:bookmarkStart w:id="33" w:name="_Toc387137490"/>
      <w:r>
        <w:rPr>
          <w:rFonts w:hint="eastAsia"/>
        </w:rPr>
        <w:t>招标代理业务申报</w:t>
      </w:r>
      <w:bookmarkEnd w:id="32"/>
      <w:r>
        <w:rPr>
          <w:rFonts w:hint="eastAsia"/>
        </w:rPr>
        <w:t>系统</w:t>
      </w:r>
      <w:bookmarkEnd w:id="33"/>
    </w:p>
    <w:p>
      <w:pPr>
        <w:pStyle w:val="3"/>
        <w:rPr>
          <w:color w:val="FF0000"/>
        </w:rPr>
      </w:pPr>
      <w:bookmarkStart w:id="34" w:name="_Toc387137491"/>
      <w:r>
        <w:rPr>
          <w:rFonts w:hint="eastAsia"/>
        </w:rPr>
        <w:t>基本流程图</w:t>
      </w:r>
      <w:bookmarkEnd w:id="34"/>
    </w:p>
    <w:p>
      <w:r>
        <w:rPr>
          <w:rFonts w:hint="eastAsia"/>
        </w:rPr>
        <w:t>1、公开招标（资格预审）：</w:t>
      </w:r>
    </w:p>
    <w:p>
      <w:pPr>
        <w:ind w:firstLine="630" w:firstLineChars="300"/>
      </w:pPr>
      <w:r>
        <w:rPr>
          <w:rFonts w:hint="eastAsia"/>
        </w:rPr>
        <w:t>流程图：</w:t>
      </w:r>
    </w:p>
    <w:p>
      <w:pPr>
        <w:ind w:firstLine="0" w:firstLineChars="0"/>
      </w:pPr>
      <w:r>
        <w:drawing>
          <wp:inline distT="0" distB="0" distL="0" distR="0">
            <wp:extent cx="5278120" cy="161798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项目注册，招标项目，委托代理合同，招标项目计划，招标公告，填写投标信息，资格预审文件，资格预审澄清文件，资审场地预约，组建资审委员会，开启资审申请文件，资格预审申请结果</w:t>
      </w:r>
      <w:r>
        <w:t>，</w:t>
      </w:r>
      <w:r>
        <w:rPr>
          <w:rFonts w:hint="eastAsia"/>
        </w:rPr>
        <w:t>资格预审结果通知书，开评标场地预约，招标文件，答疑澄清文件，招标控制价，招标人评委，组建评标委员会，开标，评标，中标候选人公示，中标结果公告，中标通知书，合同，项目销号。</w:t>
      </w:r>
    </w:p>
    <w:p/>
    <w:p>
      <w:r>
        <w:rPr>
          <w:rFonts w:hint="eastAsia"/>
        </w:rPr>
        <w:t>2、公开招标（资格后审）：</w:t>
      </w:r>
    </w:p>
    <w:p>
      <w:pPr>
        <w:ind w:firstLine="630" w:firstLineChars="300"/>
      </w:pPr>
      <w:r>
        <w:rPr>
          <w:rFonts w:hint="eastAsia"/>
        </w:rPr>
        <w:t>流程图：</w:t>
      </w:r>
    </w:p>
    <w:p>
      <w:pPr>
        <w:ind w:firstLine="0" w:firstLineChars="0"/>
      </w:pPr>
      <w:r>
        <w:drawing>
          <wp:inline distT="0" distB="0" distL="0" distR="0">
            <wp:extent cx="5278120" cy="117856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项目注册，招标项目，委托代理合同，招标项目计划，招标公告，填写投标信息，开评标场地预约，招标文件，答疑澄清文件，招标控制价，招标人评委，组建评标委员会，开标，评标，中标候选人公示，中标结果公告，中标通知书，合同，项目销号。</w:t>
      </w:r>
    </w:p>
    <w:p/>
    <w:p>
      <w:r>
        <w:rPr>
          <w:rFonts w:hint="eastAsia"/>
        </w:rPr>
        <w:t>3、邀请招标：</w:t>
      </w:r>
    </w:p>
    <w:p>
      <w:r>
        <w:rPr>
          <w:rFonts w:hint="eastAsia"/>
        </w:rPr>
        <w:t>流程图：</w:t>
      </w:r>
    </w:p>
    <w:p>
      <w:pPr>
        <w:ind w:firstLine="0" w:firstLineChars="0"/>
      </w:pPr>
      <w:r>
        <w:drawing>
          <wp:inline distT="0" distB="0" distL="0" distR="0">
            <wp:extent cx="5278120" cy="118808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项目注册，招标项目，委托代理合同，招标项目计划，投标邀请书，开评标场地预约，招标文件，招标控制价，中标候选人公示，中标结果公告，中标结果公告，中标通知书，合同，项目销号。</w:t>
      </w:r>
    </w:p>
    <w:p/>
    <w:p>
      <w:r>
        <w:rPr>
          <w:rFonts w:hint="eastAsia"/>
        </w:rPr>
        <w:t>4、直接发包：项目注册，招标项目，交易结果，合同。</w:t>
      </w:r>
    </w:p>
    <w:p/>
    <w:p/>
    <w:p>
      <w:pPr>
        <w:pStyle w:val="3"/>
      </w:pPr>
      <w:bookmarkStart w:id="35" w:name="_Toc387137492"/>
      <w:r>
        <w:rPr>
          <w:rFonts w:hint="eastAsia"/>
        </w:rPr>
        <w:t>招标方案</w:t>
      </w:r>
      <w:bookmarkEnd w:id="35"/>
    </w:p>
    <w:p>
      <w:pPr>
        <w:pStyle w:val="4"/>
      </w:pPr>
      <w:bookmarkStart w:id="36" w:name="_Toc387137493"/>
      <w:r>
        <w:rPr>
          <w:rFonts w:hint="eastAsia"/>
        </w:rPr>
        <w:t>项目注册</w:t>
      </w:r>
      <w:bookmarkEnd w:id="36"/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注册新项目。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1、招标代理登录交易平台，进入“项目视图--项目注册”页面中，如下图：</w:t>
      </w:r>
      <w:bookmarkStart w:id="37" w:name="_Toc261428517"/>
      <w:bookmarkStart w:id="38" w:name="_Toc225152731"/>
    </w:p>
    <w:p>
      <w:pPr>
        <w:pStyle w:val="123"/>
      </w:pPr>
      <w:r>
        <w:drawing>
          <wp:inline distT="0" distB="0" distL="114300" distR="114300">
            <wp:extent cx="5268595" cy="2302510"/>
            <wp:effectExtent l="0" t="0" r="825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2、点击“新增项目”，进入新增项目信息页面，</w:t>
      </w:r>
      <w:r>
        <w:t>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68595" cy="2268220"/>
            <wp:effectExtent l="0" t="0" r="8255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</w:pPr>
      <w:r>
        <w:rPr>
          <w:rFonts w:hint="eastAsia"/>
        </w:rPr>
        <w:t>设置</w:t>
      </w:r>
      <w:r>
        <w:rPr>
          <w:rFonts w:hint="eastAsia"/>
          <w:szCs w:val="21"/>
        </w:rPr>
        <w:t>“项目交易分类”、“行政监督部门”</w:t>
      </w:r>
      <w:r>
        <w:rPr>
          <w:rFonts w:hint="eastAsia"/>
        </w:rPr>
        <w:t>，点击“检索”选择建设单位，填写其他信息，点“下一步”自动审核通过（如果点“修改保存”，则暂时不提交，该信息为编辑状态，以后可以修改再提交审核），如下图：</w:t>
      </w:r>
    </w:p>
    <w:p>
      <w:pPr>
        <w:pStyle w:val="123"/>
      </w:pPr>
      <w:r>
        <w:drawing>
          <wp:inline distT="0" distB="0" distL="114300" distR="114300">
            <wp:extent cx="5278120" cy="2312035"/>
            <wp:effectExtent l="0" t="0" r="17780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  <w:rPr>
          <w:rFonts w:hint="eastAsia"/>
          <w:lang w:eastAsia="zh-CN"/>
        </w:rPr>
      </w:pPr>
      <w:r>
        <w:rPr>
          <w:rFonts w:hint="eastAsia"/>
          <w:lang w:eastAsia="zh-CN"/>
        </w:rPr>
        <w:t>新增标段选择资审方式</w:t>
      </w:r>
    </w:p>
    <w:p>
      <w:pPr>
        <w:pStyle w:val="123"/>
        <w:rPr>
          <w:rFonts w:hint="eastAsia"/>
          <w:lang w:eastAsia="zh-CN"/>
        </w:rPr>
      </w:pPr>
      <w:r>
        <w:drawing>
          <wp:inline distT="0" distB="0" distL="114300" distR="114300">
            <wp:extent cx="5268595" cy="2333625"/>
            <wp:effectExtent l="0" t="0" r="8255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1、工程注册提交审核后，可以在“审核状态”列中查看其状态。</w:t>
      </w:r>
    </w:p>
    <w:p>
      <w:r>
        <w:rPr>
          <w:rFonts w:hint="eastAsia"/>
        </w:rPr>
        <w:t>2、只有处于“编辑中”、“审核未通过”状态的项目才可以删除。</w:t>
      </w:r>
    </w:p>
    <w:p/>
    <w:bookmarkEnd w:id="37"/>
    <w:bookmarkEnd w:id="38"/>
    <w:p>
      <w:pPr>
        <w:ind w:firstLine="0" w:firstLineChars="0"/>
      </w:pPr>
      <w:bookmarkStart w:id="39" w:name="_Toc225152732"/>
      <w:bookmarkStart w:id="40" w:name="_Toc261428518"/>
    </w:p>
    <w:p>
      <w:pPr>
        <w:pStyle w:val="3"/>
      </w:pPr>
      <w:bookmarkStart w:id="41" w:name="_Toc387137497"/>
      <w:r>
        <w:rPr>
          <w:rFonts w:hint="eastAsia"/>
        </w:rPr>
        <w:t>投标邀请</w:t>
      </w:r>
      <w:bookmarkEnd w:id="41"/>
    </w:p>
    <w:p>
      <w:pPr>
        <w:pStyle w:val="4"/>
      </w:pPr>
      <w:bookmarkStart w:id="42" w:name="_Toc225152733"/>
      <w:bookmarkStart w:id="43" w:name="_Toc261428521"/>
      <w:bookmarkStart w:id="44" w:name="_Toc387137498"/>
      <w:r>
        <w:rPr>
          <w:rFonts w:hint="eastAsia"/>
        </w:rPr>
        <w:t>招标公告</w:t>
      </w:r>
      <w:bookmarkEnd w:id="42"/>
      <w:bookmarkEnd w:id="43"/>
      <w:bookmarkEnd w:id="44"/>
    </w:p>
    <w:p>
      <w:pPr>
        <w:pStyle w:val="4"/>
        <w:numPr>
          <w:ilvl w:val="2"/>
          <w:numId w:val="0"/>
        </w:numPr>
        <w:ind w:left="689" w:leftChars="0"/>
      </w:pPr>
      <w:r>
        <w:rPr>
          <w:rFonts w:hint="eastAsia"/>
          <w:lang w:eastAsia="zh-CN"/>
        </w:rPr>
        <w:t>注：</w:t>
      </w:r>
      <w:r>
        <w:rPr>
          <w:rFonts w:hint="eastAsia"/>
          <w:color w:val="FF0000"/>
          <w:lang w:eastAsia="zh-CN"/>
        </w:rPr>
        <w:t>发公告之前请务必做好招标文件并审核通过</w:t>
      </w:r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招标项目注册完成。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编制招标公告，提交监督平台审核。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94"/>
        <w:numPr>
          <w:ilvl w:val="0"/>
          <w:numId w:val="5"/>
        </w:numPr>
        <w:ind w:firstLineChars="0"/>
      </w:pPr>
      <w:r>
        <w:rPr>
          <w:rFonts w:hint="eastAsia"/>
        </w:rPr>
        <w:t>点击“招标公告”按钮，进入招标公告列表页，如下图：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69865" cy="2316480"/>
            <wp:effectExtent l="0" t="0" r="698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2、点击“新增招标公告”按钮，选择对应标段，点击“确定选择”按钮，如下图：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74310" cy="2308225"/>
            <wp:effectExtent l="0" t="0" r="2540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3、填写公告内容完成后，点击“下一步”按钮，如下图：</w:t>
      </w:r>
    </w:p>
    <w:p>
      <w:pPr>
        <w:ind w:firstLine="0" w:firstLineChars="0"/>
      </w:pPr>
      <w:r>
        <w:drawing>
          <wp:inline distT="0" distB="0" distL="0" distR="0">
            <wp:extent cx="5278120" cy="261239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4、上传招标公告电子档，并点击“提交备案”按钮，提交监督平台审核，如下图：</w:t>
      </w:r>
    </w:p>
    <w:p>
      <w:pPr>
        <w:ind w:firstLine="0" w:firstLineChars="0"/>
      </w:pPr>
      <w:r>
        <w:drawing>
          <wp:inline distT="0" distB="0" distL="0" distR="0">
            <wp:extent cx="5278120" cy="238442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5" w:name="_Toc387137499"/>
      <w:r>
        <w:t>资审方式（资格预审）</w:t>
      </w:r>
      <w:bookmarkEnd w:id="45"/>
    </w:p>
    <w:p>
      <w:pPr>
        <w:pStyle w:val="94"/>
        <w:numPr>
          <w:ilvl w:val="0"/>
          <w:numId w:val="6"/>
        </w:numPr>
        <w:ind w:firstLineChars="0"/>
      </w:pPr>
      <w:r>
        <w:rPr>
          <w:rFonts w:hint="eastAsia"/>
        </w:rPr>
        <w:t>填写公告内容，选择资审方式为资格预审，如下图：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2281555"/>
            <wp:effectExtent l="0" t="0" r="17780" b="44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6"/>
        </w:numPr>
        <w:ind w:firstLineChars="0"/>
      </w:pPr>
      <w:r>
        <w:rPr>
          <w:rFonts w:hint="eastAsia"/>
        </w:rPr>
        <w:t>需要设置资格预审领取时间和地点，如下图：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2320290"/>
            <wp:effectExtent l="0" t="0" r="10795" b="381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6"/>
        </w:numPr>
        <w:ind w:firstLineChars="0"/>
      </w:pPr>
      <w:r>
        <w:rPr>
          <w:rFonts w:hint="eastAsia"/>
        </w:rPr>
        <w:t>设置公告其他属性：</w:t>
      </w:r>
    </w:p>
    <w:p>
      <w:pPr>
        <w:pStyle w:val="94"/>
        <w:numPr>
          <w:ilvl w:val="0"/>
          <w:numId w:val="7"/>
        </w:numPr>
        <w:ind w:firstLineChars="0"/>
      </w:pPr>
      <w:r>
        <w:rPr>
          <w:rFonts w:hint="eastAsia"/>
        </w:rPr>
        <w:t>勾选重发公告：如果需要重发公告可勾选。</w:t>
      </w:r>
    </w:p>
    <w:p>
      <w:pPr>
        <w:pStyle w:val="94"/>
        <w:numPr>
          <w:ilvl w:val="0"/>
          <w:numId w:val="7"/>
        </w:numPr>
        <w:ind w:firstLineChars="0"/>
      </w:pPr>
      <w:r>
        <w:rPr>
          <w:rFonts w:hint="eastAsia"/>
        </w:rPr>
        <w:t>勾选重新招标：如果需要重新招标可勾选。</w:t>
      </w:r>
    </w:p>
    <w:p>
      <w:pPr>
        <w:pStyle w:val="94"/>
        <w:numPr>
          <w:ilvl w:val="0"/>
          <w:numId w:val="7"/>
        </w:numPr>
        <w:ind w:firstLineChars="0"/>
      </w:pPr>
      <w:r>
        <w:rPr>
          <w:rFonts w:hint="eastAsia"/>
        </w:rPr>
        <w:t>勾选提供网上报名：可以从交易平台</w:t>
      </w:r>
      <w:r>
        <w:t>—</w:t>
      </w:r>
      <w:r>
        <w:rPr>
          <w:rFonts w:hint="eastAsia"/>
        </w:rPr>
        <w:t>投标人进入，投标单位网上报名。</w:t>
      </w:r>
    </w:p>
    <w:p>
      <w:pPr>
        <w:pStyle w:val="94"/>
        <w:numPr>
          <w:ilvl w:val="0"/>
          <w:numId w:val="7"/>
        </w:numPr>
        <w:ind w:firstLineChars="0"/>
      </w:pPr>
      <w:r>
        <w:rPr>
          <w:rFonts w:hint="eastAsia"/>
        </w:rPr>
        <w:t>勾选提供联合体报名：该项目的标段可以联合体报名，勾选后可以输入联合体要求。</w:t>
      </w:r>
    </w:p>
    <w:p>
      <w:pPr>
        <w:pStyle w:val="94"/>
        <w:numPr>
          <w:ilvl w:val="0"/>
          <w:numId w:val="7"/>
        </w:numPr>
        <w:ind w:firstLineChars="0"/>
      </w:pPr>
      <w:r>
        <w:rPr>
          <w:rFonts w:hint="eastAsia"/>
        </w:rPr>
        <w:t>勾选需要项目负责人：需要选择项目负责人。</w:t>
      </w:r>
    </w:p>
    <w:p>
      <w:pPr>
        <w:ind w:left="780" w:firstLine="0" w:firstLineChars="0"/>
      </w:pP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279650"/>
            <wp:effectExtent l="0" t="0" r="8255" b="635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 w:firstLineChars="0"/>
        <w:rPr>
          <w:color w:val="FF0000"/>
        </w:rPr>
      </w:pPr>
    </w:p>
    <w:p>
      <w:pPr>
        <w:pStyle w:val="5"/>
      </w:pPr>
      <w:bookmarkStart w:id="46" w:name="_Toc387137500"/>
      <w:r>
        <w:rPr>
          <w:rFonts w:hint="eastAsia"/>
        </w:rPr>
        <w:t>资审方式（资格后审）</w:t>
      </w:r>
      <w:bookmarkEnd w:id="46"/>
    </w:p>
    <w:p>
      <w:pPr>
        <w:pStyle w:val="94"/>
        <w:numPr>
          <w:ilvl w:val="0"/>
          <w:numId w:val="8"/>
        </w:numPr>
        <w:ind w:firstLineChars="0"/>
      </w:pPr>
      <w:r>
        <w:rPr>
          <w:rFonts w:hint="eastAsia"/>
        </w:rPr>
        <w:t>填写公告内容，选择资审方式为资格后审，如下图：</w:t>
      </w:r>
    </w:p>
    <w:p>
      <w:pPr>
        <w:pStyle w:val="123"/>
      </w:pPr>
      <w:r>
        <w:drawing>
          <wp:inline distT="0" distB="0" distL="114300" distR="114300">
            <wp:extent cx="5274310" cy="2300605"/>
            <wp:effectExtent l="0" t="0" r="2540" b="444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8"/>
        </w:numPr>
        <w:ind w:firstLineChars="0"/>
      </w:pPr>
      <w:r>
        <w:rPr>
          <w:rFonts w:hint="eastAsia"/>
        </w:rPr>
        <w:t>填写公告内容，设置招标文件领取时间和地点，以及招标文件价格等内容，如下图：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2273935"/>
            <wp:effectExtent l="0" t="0" r="698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47" w:name="_Toc387137502"/>
      <w:r>
        <w:rPr>
          <w:rFonts w:hint="eastAsia"/>
        </w:rPr>
        <w:t>变更公告</w:t>
      </w:r>
      <w:bookmarkEnd w:id="47"/>
    </w:p>
    <w:p>
      <w:r>
        <w:rPr>
          <w:rFonts w:hint="eastAsia"/>
        </w:rPr>
        <w:t>前提条件：招标公告审核通过。</w:t>
      </w:r>
    </w:p>
    <w:p>
      <w:r>
        <w:rPr>
          <w:rFonts w:hint="eastAsia"/>
        </w:rPr>
        <w:t>流程功能：对已审核通过的招标公告内容（如：投标截止时间）进行变更。</w:t>
      </w:r>
    </w:p>
    <w:p>
      <w:r>
        <w:rPr>
          <w:rFonts w:hint="eastAsia"/>
        </w:rPr>
        <w:t>操作步骤：</w:t>
      </w:r>
    </w:p>
    <w:p>
      <w:pPr>
        <w:pStyle w:val="94"/>
        <w:numPr>
          <w:ilvl w:val="1"/>
          <w:numId w:val="8"/>
        </w:numPr>
        <w:ind w:firstLineChars="0"/>
      </w:pPr>
      <w:r>
        <w:rPr>
          <w:rFonts w:hint="eastAsia"/>
        </w:rPr>
        <w:t>点击“变更公告”按钮，再点击“新增变更公告”按钮，如下图：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312035"/>
            <wp:effectExtent l="0" t="0" r="2540" b="1206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1"/>
          <w:numId w:val="8"/>
        </w:numPr>
        <w:ind w:firstLineChars="0"/>
      </w:pPr>
      <w:r>
        <w:t>打开挑选招标公告页面，选择相应招标项目，点击</w:t>
      </w:r>
      <w:r>
        <w:rPr>
          <w:rFonts w:hint="eastAsia"/>
        </w:rPr>
        <w:t>“确定选择”按钮，如下图</w:t>
      </w:r>
      <w:r>
        <w:t>：</w:t>
      </w:r>
    </w:p>
    <w:p>
      <w:pPr>
        <w:ind w:firstLine="0" w:firstLineChars="0"/>
      </w:pPr>
      <w:r>
        <w:drawing>
          <wp:inline distT="0" distB="0" distL="0" distR="0">
            <wp:extent cx="5278120" cy="2400935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1"/>
          <w:numId w:val="8"/>
        </w:numPr>
        <w:ind w:firstLineChars="0"/>
      </w:pPr>
      <w:r>
        <w:t>打开新增变更公告页面，可变更投标截止时间，以及输入变更内容，输入完成后点</w:t>
      </w:r>
    </w:p>
    <w:p>
      <w:pPr>
        <w:ind w:firstLine="0" w:firstLineChars="0"/>
      </w:pPr>
      <w:r>
        <w:t>击</w:t>
      </w:r>
      <w:r>
        <w:rPr>
          <w:rFonts w:hint="eastAsia"/>
        </w:rPr>
        <w:t>“</w:t>
      </w:r>
      <w:r>
        <w:t>下一步</w:t>
      </w:r>
      <w:r>
        <w:rPr>
          <w:rFonts w:hint="eastAsia"/>
        </w:rPr>
        <w:t>”按钮，</w:t>
      </w:r>
      <w:r>
        <w:t>并提交监督平台审核。</w:t>
      </w:r>
    </w:p>
    <w:p>
      <w:pPr>
        <w:ind w:firstLine="0" w:firstLineChars="0"/>
      </w:pPr>
      <w:r>
        <w:drawing>
          <wp:inline distT="0" distB="0" distL="0" distR="0">
            <wp:extent cx="5278120" cy="2371090"/>
            <wp:effectExtent l="0" t="0" r="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</w:p>
    <w:p>
      <w:pPr>
        <w:pStyle w:val="123"/>
        <w:ind w:firstLine="435"/>
      </w:pPr>
    </w:p>
    <w:p>
      <w:pPr>
        <w:pStyle w:val="3"/>
      </w:pPr>
      <w:bookmarkStart w:id="48" w:name="_Toc387137504"/>
      <w:r>
        <w:rPr>
          <w:rFonts w:hint="eastAsia"/>
        </w:rPr>
        <w:t>资格预审</w:t>
      </w:r>
      <w:bookmarkEnd w:id="48"/>
    </w:p>
    <w:p>
      <w:pPr>
        <w:pStyle w:val="4"/>
      </w:pPr>
      <w:bookmarkStart w:id="49" w:name="_Toc387137505"/>
      <w:r>
        <w:rPr>
          <w:rFonts w:hint="eastAsia"/>
        </w:rPr>
        <w:t>资审场地预约</w:t>
      </w:r>
      <w:bookmarkEnd w:id="4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发包方式为“公开招标”且资审方式为“资格预审”的标段。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为资格预审的标段安排资审场地预约。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94"/>
        <w:numPr>
          <w:ilvl w:val="0"/>
          <w:numId w:val="9"/>
        </w:numPr>
        <w:ind w:firstLineChars="0"/>
      </w:pPr>
      <w:r>
        <w:rPr>
          <w:rFonts w:hint="eastAsia"/>
        </w:rPr>
        <w:t>点击“资审场地预约”按钮，再点击“预约场地”按钮，如下图：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22195"/>
            <wp:effectExtent l="0" t="0" r="8255" b="190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9"/>
        </w:numPr>
        <w:ind w:firstLineChars="0"/>
      </w:pPr>
      <w:r>
        <w:t>打开挑选标段（包）页面</w:t>
      </w:r>
      <w:r>
        <w:rPr>
          <w:rFonts w:hint="eastAsia"/>
        </w:rPr>
        <w:t>，选择标段，再点击“确定选择”按钮，如下图：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291080"/>
            <wp:effectExtent l="0" t="0" r="8255" b="13970"/>
            <wp:docPr id="8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9"/>
        </w:numPr>
        <w:ind w:firstLineChars="0"/>
      </w:pPr>
      <w:r>
        <w:t>打开资审场地预约页面，设置资审时间和资审接收室后，点击</w:t>
      </w:r>
      <w:r>
        <w:rPr>
          <w:rFonts w:hint="eastAsia"/>
        </w:rPr>
        <w:t>“下一步”</w:t>
      </w:r>
      <w:r>
        <w:t>，可提交招标办审核，如下图：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268220"/>
            <wp:effectExtent l="0" t="0" r="8255" b="17780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特别提示：资审接收室选择如果已被占用，会有提示，需要安排其他接收室。</w:t>
      </w:r>
    </w:p>
    <w:p>
      <w:pPr>
        <w:ind w:firstLineChars="0"/>
      </w:pPr>
    </w:p>
    <w:bookmarkEnd w:id="39"/>
    <w:bookmarkEnd w:id="40"/>
    <w:p>
      <w:pPr>
        <w:pStyle w:val="4"/>
      </w:pPr>
      <w:bookmarkStart w:id="50" w:name="_Toc387137506"/>
      <w:r>
        <w:rPr>
          <w:rFonts w:hint="eastAsia"/>
        </w:rPr>
        <w:t>资格预审文件</w:t>
      </w:r>
      <w:bookmarkEnd w:id="5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发包方式为“公开招标”的标段。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新增资格预审文件，提交招标办审核。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94"/>
        <w:numPr>
          <w:ilvl w:val="0"/>
          <w:numId w:val="10"/>
        </w:numPr>
        <w:ind w:firstLineChars="0"/>
      </w:pPr>
      <w:r>
        <w:rPr>
          <w:rFonts w:hint="eastAsia"/>
        </w:rPr>
        <w:t>点击“资格预审文件”按钮，再点击“新增资格预审文件”按钮，如下图：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68595" cy="2314575"/>
            <wp:effectExtent l="0" t="0" r="8255" b="9525"/>
            <wp:docPr id="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0"/>
        </w:numPr>
        <w:ind w:firstLineChars="0"/>
      </w:pPr>
      <w:r>
        <w:rPr>
          <w:rFonts w:hint="eastAsia"/>
        </w:rPr>
        <w:t>打开挑选标段（包）页面，选择对应标段，点击“确定选择”，如下图：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215515"/>
            <wp:effectExtent l="0" t="0" r="2540" b="13335"/>
            <wp:docPr id="9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0"/>
        </w:numPr>
        <w:ind w:firstLineChars="0"/>
      </w:pPr>
      <w:r>
        <w:rPr>
          <w:rFonts w:hint="eastAsia"/>
        </w:rPr>
        <w:t>打开“新增资格预审文件”页面</w:t>
      </w:r>
      <w:r>
        <w:t>，设置时间并填写完相关内容后，点击</w:t>
      </w:r>
      <w:r>
        <w:rPr>
          <w:rFonts w:hint="eastAsia"/>
        </w:rPr>
        <w:t>“</w:t>
      </w:r>
      <w:r>
        <w:t>下一步</w:t>
      </w:r>
      <w:r>
        <w:rPr>
          <w:rFonts w:hint="eastAsia"/>
        </w:rPr>
        <w:t>”</w:t>
      </w:r>
    </w:p>
    <w:p>
      <w:pPr>
        <w:ind w:firstLine="0" w:firstLineChars="0"/>
      </w:pPr>
      <w:r>
        <w:rPr>
          <w:rFonts w:hint="eastAsia"/>
        </w:rPr>
        <w:t>按钮，如下图：</w:t>
      </w:r>
    </w:p>
    <w:p>
      <w:pPr>
        <w:pStyle w:val="123"/>
      </w:pPr>
      <w:r>
        <w:drawing>
          <wp:inline distT="0" distB="0" distL="114300" distR="114300">
            <wp:extent cx="5274310" cy="2300605"/>
            <wp:effectExtent l="0" t="0" r="2540" b="4445"/>
            <wp:docPr id="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0"/>
        </w:numPr>
        <w:ind w:firstLineChars="0"/>
      </w:pPr>
      <w:r>
        <w:rPr>
          <w:rFonts w:hint="eastAsia"/>
        </w:rPr>
        <w:t>上传电子档并点击“提交备案”按钮，提交招标办备案，如下图：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316480"/>
            <wp:effectExtent l="0" t="0" r="2540" b="7620"/>
            <wp:docPr id="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</w:pPr>
    </w:p>
    <w:p>
      <w:pPr>
        <w:pStyle w:val="4"/>
      </w:pPr>
      <w:bookmarkStart w:id="51" w:name="_Toc387137508"/>
      <w:r>
        <w:rPr>
          <w:rFonts w:hint="eastAsia"/>
        </w:rPr>
        <w:t>资审文件澄清和修改</w:t>
      </w:r>
      <w:bookmarkEnd w:id="5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资格预审文件审核通过。</w:t>
      </w:r>
    </w:p>
    <w:p>
      <w:pPr>
        <w:ind w:left="420" w:leftChars="200" w:firstLine="0" w:firstLineChars="0"/>
      </w:pPr>
      <w:r>
        <w:rPr>
          <w:rFonts w:hint="eastAsia"/>
          <w:b/>
        </w:rPr>
        <w:t>流程功能：</w:t>
      </w:r>
      <w:r>
        <w:rPr>
          <w:rFonts w:hint="eastAsia"/>
        </w:rPr>
        <w:t>可对资审文件澄清和修改资审时间，并且所有已获取文件的潜在资格预审申请人发送通知。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94"/>
        <w:numPr>
          <w:ilvl w:val="0"/>
          <w:numId w:val="11"/>
        </w:numPr>
        <w:ind w:firstLineChars="0"/>
      </w:pPr>
      <w:r>
        <w:rPr>
          <w:rFonts w:hint="eastAsia"/>
        </w:rPr>
        <w:t>点击“资审文件澄清和修改”按钮，再点击“</w:t>
      </w:r>
      <w:r>
        <w:rPr>
          <w:rFonts w:hint="eastAsia"/>
          <w:lang w:eastAsia="zh-CN"/>
        </w:rPr>
        <w:t>制作</w:t>
      </w:r>
      <w:r>
        <w:rPr>
          <w:rFonts w:hint="eastAsia"/>
        </w:rPr>
        <w:t>资审澄清”，如下图：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2308225"/>
            <wp:effectExtent l="0" t="0" r="17780" b="15875"/>
            <wp:docPr id="9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1"/>
        </w:numPr>
        <w:ind w:firstLineChars="0"/>
      </w:pPr>
      <w:r>
        <w:rPr>
          <w:rFonts w:hint="eastAsia"/>
        </w:rPr>
        <w:t>打开挑选资审文件页面，选择项目标段，点击“确定选择”，如下图：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02510"/>
            <wp:effectExtent l="0" t="0" r="8255" b="2540"/>
            <wp:docPr id="9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1"/>
        </w:numPr>
        <w:ind w:firstLineChars="0"/>
      </w:pPr>
      <w:r>
        <w:t>打开查看资审澄清文件页面，输入内容完成，点击</w:t>
      </w:r>
      <w:r>
        <w:rPr>
          <w:rFonts w:hint="eastAsia"/>
        </w:rPr>
        <w:t>“</w:t>
      </w:r>
      <w:r>
        <w:t>下一步</w:t>
      </w:r>
      <w:r>
        <w:rPr>
          <w:rFonts w:hint="eastAsia"/>
        </w:rPr>
        <w:t>”按钮，如下图：</w:t>
      </w:r>
    </w:p>
    <w:p>
      <w:pPr>
        <w:ind w:firstLine="0" w:firstLineChars="0"/>
      </w:pPr>
      <w:r>
        <w:drawing>
          <wp:inline distT="0" distB="0" distL="0" distR="0">
            <wp:extent cx="5278120" cy="2599055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注：“变更内容”勾选“已确定的资格审查时间”，会显示“变更后的审查时间”，可调整审查时间，并以调整后的审查时间为准。</w:t>
      </w:r>
    </w:p>
    <w:p>
      <w:pPr>
        <w:pStyle w:val="94"/>
        <w:numPr>
          <w:ilvl w:val="0"/>
          <w:numId w:val="11"/>
        </w:numPr>
        <w:ind w:firstLineChars="0"/>
      </w:pPr>
      <w:r>
        <w:rPr>
          <w:rFonts w:hint="eastAsia"/>
        </w:rPr>
        <w:t>上传电子档，并点击“提交备案”按钮，提交招标办审核，如下图：</w:t>
      </w:r>
    </w:p>
    <w:p>
      <w:pPr>
        <w:ind w:firstLine="0" w:firstLineChars="0"/>
      </w:pPr>
      <w:r>
        <w:drawing>
          <wp:inline distT="0" distB="0" distL="0" distR="0">
            <wp:extent cx="5278120" cy="2724785"/>
            <wp:effectExtent l="0" t="0" r="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特殊提示：可多次澄清，但只有前一次澄清审核通过后，才能第二次澄清。</w:t>
      </w:r>
    </w:p>
    <w:p>
      <w:pPr>
        <w:pStyle w:val="3"/>
      </w:pPr>
      <w:bookmarkStart w:id="52" w:name="_Toc387137512"/>
      <w:r>
        <w:rPr>
          <w:rFonts w:hint="eastAsia"/>
        </w:rPr>
        <w:t>发标</w:t>
      </w:r>
      <w:bookmarkEnd w:id="52"/>
    </w:p>
    <w:p>
      <w:pPr>
        <w:pStyle w:val="4"/>
      </w:pPr>
      <w:bookmarkStart w:id="53" w:name="_Toc225152739"/>
      <w:bookmarkStart w:id="54" w:name="_Toc261428523"/>
      <w:bookmarkStart w:id="55" w:name="_Toc387137513"/>
      <w:r>
        <w:rPr>
          <w:rFonts w:hint="eastAsia"/>
        </w:rPr>
        <w:t>开标场地、时间预约</w:t>
      </w:r>
      <w:bookmarkEnd w:id="53"/>
      <w:bookmarkEnd w:id="54"/>
      <w:bookmarkEnd w:id="5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发布公告，单位已经报名。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预约开评标场地、时间。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1、点击页“开标场地、时间预约”按钮，再点击“预约场地”按钮，如下图：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78120" cy="2327910"/>
            <wp:effectExtent l="0" t="0" r="17780" b="15240"/>
            <wp:docPr id="10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2、进入挑选标段（包）页面，选择对应标段，再点击“确定选择”按钮，如下图：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68595" cy="2287270"/>
            <wp:effectExtent l="0" t="0" r="8255" b="17780"/>
            <wp:docPr id="10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3、进入开评标场地预约页面，先选择开标时间，然后选择开标室，最后点“下一步”，提交招标办审核。</w:t>
      </w:r>
    </w:p>
    <w:p>
      <w:pPr>
        <w:ind w:firstLine="0" w:firstLineChars="0"/>
      </w:pPr>
      <w:r>
        <w:drawing>
          <wp:inline distT="0" distB="0" distL="114300" distR="114300">
            <wp:extent cx="5266055" cy="2304415"/>
            <wp:effectExtent l="0" t="0" r="10795" b="635"/>
            <wp:docPr id="10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1、选择开标时间只能大于当前时间。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2、标段包信息：可以删除或新增同一项目中其他标段。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3、选择开标室，如果同一开标室已经有其他时间段占用，是无法提交审核的，须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重新选择开标室。</w:t>
      </w:r>
    </w:p>
    <w:p>
      <w:pPr>
        <w:ind w:firstLine="435" w:firstLineChars="0"/>
      </w:pPr>
      <w:r>
        <w:rPr>
          <w:rFonts w:hint="eastAsia"/>
        </w:rPr>
        <w:t>特殊提示：交易平台</w:t>
      </w:r>
      <w:r>
        <w:t>—</w:t>
      </w:r>
      <w:r>
        <w:rPr>
          <w:rFonts w:hint="eastAsia"/>
        </w:rPr>
        <w:t>代理开标场地预约，提交招标办审核以后，由招标办安排评标场地才能完成整个场地预约。</w:t>
      </w:r>
    </w:p>
    <w:p>
      <w:pPr>
        <w:ind w:left="435" w:firstLine="0" w:firstLineChars="0"/>
      </w:pPr>
    </w:p>
    <w:p>
      <w:pPr>
        <w:pStyle w:val="4"/>
      </w:pPr>
      <w:bookmarkStart w:id="56" w:name="_Toc225152737"/>
      <w:bookmarkStart w:id="57" w:name="_Toc261428525"/>
      <w:bookmarkStart w:id="58" w:name="_Toc387137514"/>
      <w:r>
        <w:rPr>
          <w:rFonts w:hint="eastAsia"/>
        </w:rPr>
        <w:t>招标文件</w:t>
      </w:r>
      <w:bookmarkEnd w:id="56"/>
      <w:bookmarkEnd w:id="57"/>
      <w:bookmarkEnd w:id="5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开标时间场地已经预约。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备案招标文件，提交监督平台备案。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1、点击“招标文件”按钮，再点击“新增招标文件”，如下图：</w:t>
      </w:r>
    </w:p>
    <w:p>
      <w:pPr>
        <w:pStyle w:val="123"/>
        <w:jc w:val="both"/>
        <w:rPr>
          <w:sz w:val="24"/>
        </w:rPr>
      </w:pPr>
      <w:r>
        <w:drawing>
          <wp:inline distT="0" distB="0" distL="114300" distR="114300">
            <wp:extent cx="5278120" cy="2320290"/>
            <wp:effectExtent l="0" t="0" r="17780" b="3810"/>
            <wp:docPr id="10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2、打开挑选标段（包）页面，选择对应的标段，最后“确定选择”按钮，如下图：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78120" cy="2324100"/>
            <wp:effectExtent l="0" t="0" r="17780" b="0"/>
            <wp:docPr id="1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3、进入“新增招标文件”页面，完善信息，如设置招标文件发售时间、填写保证金金额、投标有效期等字段，如下图：</w:t>
      </w:r>
    </w:p>
    <w:p>
      <w:pPr>
        <w:pStyle w:val="123"/>
      </w:pPr>
      <w:r>
        <w:drawing>
          <wp:inline distT="0" distB="0" distL="114300" distR="114300">
            <wp:extent cx="5269865" cy="2296795"/>
            <wp:effectExtent l="0" t="0" r="6985" b="8255"/>
            <wp:docPr id="10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4、点击“下一步”，上传招标文件和图纸文件（电子件管理），最后点击“提交审核”按钮，提交监督平台审核，如下图：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68595" cy="2256155"/>
            <wp:effectExtent l="0" t="0" r="8255" b="10795"/>
            <wp:docPr id="10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特别提示：如果点修改保存，那么用户还可以对招标文件进行修改，如果点提交审批，则不可以修改。</w:t>
      </w:r>
    </w:p>
    <w:p/>
    <w:p>
      <w:pPr>
        <w:pStyle w:val="4"/>
      </w:pPr>
      <w:bookmarkStart w:id="59" w:name="_Toc225152740"/>
      <w:bookmarkStart w:id="60" w:name="_Toc261428530"/>
      <w:bookmarkStart w:id="61" w:name="_Toc387137517"/>
      <w:r>
        <w:rPr>
          <w:rFonts w:hint="eastAsia"/>
        </w:rPr>
        <w:t>答疑澄清</w:t>
      </w:r>
      <w:bookmarkEnd w:id="59"/>
      <w:r>
        <w:rPr>
          <w:rFonts w:hint="eastAsia"/>
        </w:rPr>
        <w:t>文件</w:t>
      </w:r>
      <w:bookmarkEnd w:id="60"/>
      <w:bookmarkEnd w:id="6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该工程已经进行了招标文件备案。</w:t>
      </w:r>
    </w:p>
    <w:p>
      <w:pPr>
        <w:ind w:left="420" w:leftChars="200" w:firstLine="0" w:firstLineChars="0"/>
      </w:pPr>
      <w:r>
        <w:rPr>
          <w:rFonts w:hint="eastAsia"/>
          <w:b/>
        </w:rPr>
        <w:t>流程功能：</w:t>
      </w:r>
      <w:r>
        <w:rPr>
          <w:rFonts w:hint="eastAsia"/>
        </w:rPr>
        <w:t>对招标文件进行澄清或者修改，可以多次。并且向所有已获取文件的潜在投标人发送通知。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1、点击“答疑澄清文件”按钮，再点击“新增答疑澄清文件”按钮，如下图：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74310" cy="2300605"/>
            <wp:effectExtent l="0" t="0" r="2540" b="4445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2、进入挑选招标文件页面，选择一个对应的标段，再点击“确定选择”按钮，如下图：</w:t>
      </w:r>
    </w:p>
    <w:p>
      <w:pPr>
        <w:pStyle w:val="123"/>
        <w:rPr>
          <w:sz w:val="24"/>
        </w:rPr>
      </w:pPr>
      <w:r>
        <w:drawing>
          <wp:inline distT="0" distB="0" distL="114300" distR="114300">
            <wp:extent cx="5278120" cy="2304415"/>
            <wp:effectExtent l="0" t="0" r="17780" b="635"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3、进入新增答疑澄清文件页面，输入各项澄清修改信息（澄清与修改内容），设置“是否变更开标时间”，若需要变更开标时间，则勾选，会显示变更后的开标时间控件，可以设置，如下图：</w:t>
      </w:r>
    </w:p>
    <w:p>
      <w:pPr>
        <w:pStyle w:val="123"/>
      </w:pPr>
      <w:r>
        <w:drawing>
          <wp:inline distT="0" distB="0" distL="0" distR="0">
            <wp:extent cx="5159375" cy="2628900"/>
            <wp:effectExtent l="0" t="0" r="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5985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  <w:r>
        <w:rPr>
          <w:rFonts w:hint="eastAsia"/>
        </w:rPr>
        <w:t xml:space="preserve">    4、点击“下一步”，上传“答疑澄清文件”电子档，并提交备案，提交招标办审核。</w:t>
      </w:r>
    </w:p>
    <w:p>
      <w:r>
        <w:rPr>
          <w:rFonts w:hint="eastAsia"/>
        </w:rPr>
        <w:t>特别提示：如果点修改保存，那么用户还可以对答疑澄清文件进行修改，如果点提交审批，则不可以修改。</w:t>
      </w:r>
    </w:p>
    <w:p>
      <w:pPr>
        <w:pStyle w:val="94"/>
        <w:numPr>
          <w:ilvl w:val="0"/>
          <w:numId w:val="12"/>
        </w:numPr>
        <w:ind w:firstLineChars="0"/>
      </w:pPr>
      <w:r>
        <w:rPr>
          <w:rFonts w:hint="eastAsia"/>
        </w:rPr>
        <w:t>招标办审核通过后， 公告澄清与修改内容将以短信形式通知潜在投标人。</w:t>
      </w:r>
    </w:p>
    <w:p/>
    <w:p>
      <w:pPr>
        <w:pStyle w:val="3"/>
      </w:pPr>
      <w:bookmarkStart w:id="62" w:name="_Toc387137522"/>
      <w:r>
        <w:rPr>
          <w:rFonts w:hint="eastAsia"/>
        </w:rPr>
        <w:t>开标评标</w:t>
      </w:r>
      <w:bookmarkEnd w:id="62"/>
    </w:p>
    <w:p>
      <w:pPr>
        <w:pStyle w:val="4"/>
      </w:pPr>
      <w:bookmarkStart w:id="63" w:name="_Toc387137523"/>
      <w:r>
        <w:rPr>
          <w:rFonts w:hint="eastAsia"/>
        </w:rPr>
        <w:t>开标情况</w:t>
      </w:r>
      <w:bookmarkEnd w:id="6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开评标时间截止。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录入开标详细开标，并对标段的开标程序结束操作。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94"/>
        <w:numPr>
          <w:ilvl w:val="0"/>
          <w:numId w:val="13"/>
        </w:numPr>
        <w:ind w:firstLineChars="0"/>
      </w:pPr>
      <w:r>
        <w:rPr>
          <w:rFonts w:hint="eastAsia"/>
        </w:rPr>
        <w:t>点击“开标情况”按钮，找到对应标段，点击“查看”按钮，进入开标情况录入页</w:t>
      </w:r>
    </w:p>
    <w:p>
      <w:pPr>
        <w:ind w:firstLine="0" w:firstLineChars="0"/>
      </w:pPr>
      <w:r>
        <w:rPr>
          <w:rFonts w:hint="eastAsia"/>
        </w:rPr>
        <w:t>面，如下图：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10765"/>
            <wp:effectExtent l="0" t="0" r="8255" b="13335"/>
            <wp:docPr id="10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3"/>
        </w:numPr>
        <w:ind w:firstLineChars="0"/>
      </w:pPr>
      <w:r>
        <w:rPr>
          <w:rFonts w:hint="eastAsia"/>
        </w:rPr>
        <w:t>进入查看开标情况页面，点击“进入”按钮，如下图：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02510"/>
            <wp:effectExtent l="0" t="0" r="8255" b="2540"/>
            <wp:docPr id="1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3"/>
        </w:numPr>
        <w:ind w:firstLineChars="0"/>
      </w:pPr>
      <w:r>
        <w:rPr>
          <w:rFonts w:hint="eastAsia"/>
        </w:rPr>
        <w:t>进入录入详细情况页面，可录入标书信息</w:t>
      </w:r>
      <w:bookmarkStart w:id="64" w:name="_Toc225152742"/>
      <w:bookmarkStart w:id="65" w:name="_Toc261428532"/>
      <w:r>
        <w:rPr>
          <w:rFonts w:hint="eastAsia"/>
        </w:rPr>
        <w:t>中标公示</w:t>
      </w:r>
      <w:bookmarkEnd w:id="64"/>
      <w:bookmarkEnd w:id="65"/>
      <w:r>
        <w:rPr>
          <w:rFonts w:hint="eastAsia"/>
        </w:rPr>
        <w:t>，并点击“修改保存”按钮，如</w:t>
      </w:r>
    </w:p>
    <w:p>
      <w:pPr>
        <w:ind w:firstLine="0" w:firstLineChars="0"/>
      </w:pPr>
      <w:r>
        <w:rPr>
          <w:rFonts w:hint="eastAsia"/>
        </w:rPr>
        <w:t>下图：</w:t>
      </w:r>
    </w:p>
    <w:p>
      <w:pPr>
        <w:ind w:firstLine="0" w:firstLineChars="0"/>
      </w:pPr>
      <w:r>
        <w:drawing>
          <wp:inline distT="0" distB="0" distL="0" distR="0">
            <wp:extent cx="5278120" cy="2574925"/>
            <wp:effectExtent l="0" t="0" r="0" b="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3"/>
        </w:numPr>
        <w:ind w:firstLineChars="0"/>
      </w:pPr>
      <w:r>
        <w:t>进入评标室人员，可新增人员，点击</w:t>
      </w:r>
      <w:r>
        <w:rPr>
          <w:rFonts w:hint="eastAsia"/>
        </w:rPr>
        <w:t>“</w:t>
      </w:r>
      <w:r>
        <w:t>新增人员</w:t>
      </w:r>
      <w:r>
        <w:rPr>
          <w:rFonts w:hint="eastAsia"/>
        </w:rPr>
        <w:t>”按钮,输入人员信息后，点击“修</w:t>
      </w:r>
    </w:p>
    <w:p>
      <w:pPr>
        <w:ind w:firstLine="0" w:firstLineChars="0"/>
      </w:pPr>
      <w:r>
        <w:rPr>
          <w:rFonts w:hint="eastAsia"/>
        </w:rPr>
        <w:t>改保存”，录入成功。</w:t>
      </w:r>
    </w:p>
    <w:p>
      <w:pPr>
        <w:ind w:firstLine="0" w:firstLineChars="0"/>
      </w:pPr>
      <w:r>
        <w:drawing>
          <wp:inline distT="0" distB="0" distL="0" distR="0">
            <wp:extent cx="5278120" cy="2370455"/>
            <wp:effectExtent l="0" t="0" r="0" b="0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3"/>
        </w:numPr>
        <w:ind w:firstLineChars="0"/>
      </w:pPr>
      <w:r>
        <w:rPr>
          <w:rFonts w:hint="eastAsia"/>
        </w:rPr>
        <w:t>开标情况录入完成后，点击“开标结束”按钮，开标结束后就不可以在录入或者修</w:t>
      </w:r>
    </w:p>
    <w:p>
      <w:pPr>
        <w:ind w:firstLine="0" w:firstLineChars="0"/>
      </w:pPr>
      <w:r>
        <w:rPr>
          <w:rFonts w:hint="eastAsia"/>
        </w:rPr>
        <w:t>改了，如下图：</w:t>
      </w:r>
    </w:p>
    <w:p>
      <w:pPr>
        <w:ind w:firstLine="0" w:firstLineChars="0"/>
      </w:pPr>
      <w:r>
        <w:drawing>
          <wp:inline distT="0" distB="0" distL="0" distR="0">
            <wp:extent cx="5278120" cy="2618740"/>
            <wp:effectExtent l="0" t="0" r="0" b="0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66" w:name="_Toc387137524"/>
      <w:r>
        <w:t>评标情况</w:t>
      </w:r>
      <w:bookmarkEnd w:id="66"/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录入评标信息、评标结果、评委评价。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操作流程：</w:t>
      </w:r>
    </w:p>
    <w:p>
      <w:pPr>
        <w:pStyle w:val="94"/>
        <w:numPr>
          <w:ilvl w:val="0"/>
          <w:numId w:val="14"/>
        </w:numPr>
        <w:ind w:firstLineChars="0"/>
      </w:pPr>
      <w:r>
        <w:rPr>
          <w:rFonts w:hint="eastAsia"/>
        </w:rPr>
        <w:t>点击“评标情况”按钮，再点击“进入”按钮，如下图：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1863090"/>
            <wp:effectExtent l="0" t="0" r="8255" b="3810"/>
            <wp:docPr id="1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4"/>
        </w:numPr>
        <w:ind w:firstLineChars="0"/>
      </w:pPr>
      <w:r>
        <w:rPr>
          <w:rFonts w:hint="eastAsia"/>
        </w:rPr>
        <w:t>进入查看评标情况页面，录入评标信息、评标结果、评委评价信息，如下图：</w:t>
      </w:r>
    </w:p>
    <w:p>
      <w:pPr>
        <w:ind w:firstLine="0" w:firstLineChars="0"/>
      </w:pPr>
      <w:r>
        <w:drawing>
          <wp:inline distT="0" distB="0" distL="0" distR="0">
            <wp:extent cx="5278120" cy="23971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4"/>
        </w:numPr>
        <w:ind w:firstLineChars="0"/>
      </w:pPr>
      <w:r>
        <w:rPr>
          <w:rFonts w:hint="eastAsia"/>
        </w:rPr>
        <w:t>获取评标数据：是网上招投标项目才能获取。</w:t>
      </w:r>
    </w:p>
    <w:p>
      <w:pPr>
        <w:ind w:firstLine="0" w:firstLineChars="0"/>
      </w:pPr>
    </w:p>
    <w:p>
      <w:pPr>
        <w:pStyle w:val="4"/>
      </w:pPr>
      <w:bookmarkStart w:id="67" w:name="_Toc387137525"/>
      <w:r>
        <w:rPr>
          <w:rFonts w:hint="eastAsia"/>
        </w:rPr>
        <w:t>招标异常</w:t>
      </w:r>
      <w:bookmarkEnd w:id="67"/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对于招标失败（报名不足三家，资格预审不足规定数等），重发公告等的处理。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1、点击“招标异常”按钮，再点击“新增标段异常”按钮，如下图：</w:t>
      </w:r>
    </w:p>
    <w:p>
      <w:pPr>
        <w:pStyle w:val="123"/>
      </w:pPr>
      <w:r>
        <w:drawing>
          <wp:inline distT="0" distB="0" distL="114300" distR="114300">
            <wp:extent cx="5268595" cy="2310765"/>
            <wp:effectExtent l="0" t="0" r="8255" b="13335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2、进入挑选标段（包）页面，选择对应标段后，点击“确定选择”按钮，如下图：</w:t>
      </w:r>
    </w:p>
    <w:p>
      <w:pPr>
        <w:pStyle w:val="123"/>
      </w:pPr>
      <w:r>
        <w:drawing>
          <wp:inline distT="0" distB="0" distL="114300" distR="114300">
            <wp:extent cx="5268595" cy="2283460"/>
            <wp:effectExtent l="0" t="0" r="8255" b="2540"/>
            <wp:docPr id="1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</w:pPr>
      <w:r>
        <w:t xml:space="preserve">  3、进入招标异常页面，输入异常原因等信息，如下图：</w:t>
      </w:r>
    </w:p>
    <w:p>
      <w:pPr>
        <w:pStyle w:val="123"/>
      </w:pPr>
      <w:r>
        <w:drawing>
          <wp:inline distT="0" distB="0" distL="114300" distR="114300">
            <wp:extent cx="5268595" cy="2329815"/>
            <wp:effectExtent l="0" t="0" r="8255" b="1333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4、选择处理结果为重新招标：是该标段从招标公告开始重新走流程，且重新招标的标段会有“重发公告第一次”的红色标记，如下图：</w:t>
      </w:r>
    </w:p>
    <w:p>
      <w:pPr>
        <w:pStyle w:val="123"/>
      </w:pPr>
      <w:r>
        <w:drawing>
          <wp:inline distT="0" distB="0" distL="114300" distR="114300">
            <wp:extent cx="5268595" cy="2275840"/>
            <wp:effectExtent l="0" t="0" r="8255" b="1016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  <w:ind w:firstLine="420" w:firstLineChars="200"/>
      </w:pPr>
      <w:r>
        <w:rPr>
          <w:rFonts w:hint="eastAsia"/>
        </w:rPr>
        <w:t xml:space="preserve"> 5</w:t>
      </w:r>
      <w:r>
        <w:t>、选择处理结果为终止招标：是该标段流程终止，且无法走下一步流程，如下图：</w:t>
      </w:r>
    </w:p>
    <w:p>
      <w:pPr>
        <w:pStyle w:val="123"/>
      </w:pPr>
      <w:r>
        <w:drawing>
          <wp:inline distT="0" distB="0" distL="114300" distR="114300">
            <wp:extent cx="5278120" cy="2312035"/>
            <wp:effectExtent l="0" t="0" r="17780" b="12065"/>
            <wp:docPr id="1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  <w:numPr>
          <w:ilvl w:val="0"/>
          <w:numId w:val="13"/>
        </w:numPr>
      </w:pPr>
      <w:r>
        <w:t>延后变更：是标段变更招标方式，比如：原招标方式为</w:t>
      </w:r>
      <w:r>
        <w:rPr>
          <w:rFonts w:hint="eastAsia"/>
        </w:rPr>
        <w:t>“公开招标”</w:t>
      </w:r>
      <w:r>
        <w:t>可变更为</w:t>
      </w:r>
      <w:r>
        <w:rPr>
          <w:rFonts w:hint="eastAsia"/>
        </w:rPr>
        <w:t>“邀</w:t>
      </w:r>
    </w:p>
    <w:p>
      <w:pPr>
        <w:pStyle w:val="123"/>
      </w:pPr>
      <w:r>
        <w:rPr>
          <w:rFonts w:hint="eastAsia"/>
        </w:rPr>
        <w:t>请招标”或“直接发包”，并且变更审核通过后，该标段的招标流程同样会变为邀请或直接发包的流程。正常的变更是：</w:t>
      </w:r>
      <w:r>
        <w:rPr>
          <w:rFonts w:hint="eastAsia" w:ascii="宋体" w:hAnsi="宋体"/>
        </w:rPr>
        <w:t>①</w:t>
      </w:r>
      <w:r>
        <w:rPr>
          <w:rFonts w:hint="eastAsia"/>
        </w:rPr>
        <w:t>公开招标变更为邀请和直接发包；</w:t>
      </w:r>
      <w:r>
        <w:rPr>
          <w:rFonts w:hint="eastAsia" w:ascii="宋体" w:hAnsi="宋体"/>
        </w:rPr>
        <w:t>②</w:t>
      </w:r>
      <w:r>
        <w:rPr>
          <w:rFonts w:hint="eastAsia"/>
        </w:rPr>
        <w:t>邀请招标变更直接发包，如下图：</w:t>
      </w:r>
    </w:p>
    <w:p>
      <w:pPr>
        <w:pStyle w:val="123"/>
      </w:pPr>
      <w:r>
        <w:drawing>
          <wp:inline distT="0" distB="0" distL="114300" distR="114300">
            <wp:extent cx="5269865" cy="2285365"/>
            <wp:effectExtent l="0" t="0" r="6985" b="635"/>
            <wp:docPr id="12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  <w:numPr>
          <w:ilvl w:val="0"/>
          <w:numId w:val="13"/>
        </w:numPr>
      </w:pPr>
      <w:r>
        <w:t>是否复制投标单位：只有处理结果选择</w:t>
      </w:r>
      <w:r>
        <w:rPr>
          <w:rFonts w:hint="eastAsia"/>
        </w:rPr>
        <w:t>“重新招标”，才能勾选该字段。勾选后，</w:t>
      </w:r>
    </w:p>
    <w:p>
      <w:pPr>
        <w:pStyle w:val="123"/>
      </w:pPr>
      <w:r>
        <w:rPr>
          <w:rFonts w:hint="eastAsia"/>
        </w:rPr>
        <w:t>原来标段的已报名的投标单位可以复制给重新招标的标段，并且有效，其他投标单位也可以报名，如下图：</w:t>
      </w:r>
    </w:p>
    <w:p>
      <w:pPr>
        <w:pStyle w:val="123"/>
      </w:pPr>
      <w:r>
        <w:drawing>
          <wp:inline distT="0" distB="0" distL="114300" distR="114300">
            <wp:extent cx="5268595" cy="2310765"/>
            <wp:effectExtent l="0" t="0" r="8255" b="13335"/>
            <wp:docPr id="13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3"/>
        <w:numPr>
          <w:ilvl w:val="0"/>
          <w:numId w:val="13"/>
        </w:numPr>
      </w:pPr>
      <w:r>
        <w:t>是否发布公告：勾选后，该异常信息可以网站公示，并可设置公告标题及公示开始</w:t>
      </w:r>
    </w:p>
    <w:p>
      <w:pPr>
        <w:pStyle w:val="123"/>
      </w:pPr>
      <w:r>
        <w:t>和截止时间以及输入公告内容；不勾选就不会网站公示，如下图：</w:t>
      </w:r>
    </w:p>
    <w:p>
      <w:pPr>
        <w:pStyle w:val="123"/>
      </w:pPr>
      <w:r>
        <w:drawing>
          <wp:inline distT="0" distB="0" distL="114300" distR="114300">
            <wp:extent cx="5268595" cy="2306320"/>
            <wp:effectExtent l="0" t="0" r="8255" b="177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13"/>
        </w:numPr>
        <w:ind w:firstLineChars="0"/>
      </w:pPr>
      <w:r>
        <w:t>设置完成后点击</w:t>
      </w:r>
      <w:r>
        <w:rPr>
          <w:rFonts w:hint="eastAsia"/>
        </w:rPr>
        <w:t>“</w:t>
      </w:r>
      <w:r>
        <w:t>下一步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上传电子档并提交备案，提交招标办审核，如下图：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22195"/>
            <wp:effectExtent l="0" t="0" r="8255" b="1905"/>
            <wp:docPr id="13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特别提示：</w:t>
      </w:r>
    </w:p>
    <w:p>
      <w:pPr>
        <w:pStyle w:val="94"/>
        <w:numPr>
          <w:ilvl w:val="0"/>
          <w:numId w:val="15"/>
        </w:numPr>
        <w:ind w:firstLineChars="0"/>
      </w:pPr>
      <w:r>
        <w:rPr>
          <w:rFonts w:hint="eastAsia"/>
        </w:rPr>
        <w:t>在招标异常列表页：“处理结果”为显示该标段的处理结果，“审核状态”可以显示</w:t>
      </w:r>
    </w:p>
    <w:p>
      <w:pPr>
        <w:ind w:firstLine="0" w:firstLineChars="0"/>
      </w:pPr>
      <w:r>
        <w:rPr>
          <w:rFonts w:hint="eastAsia"/>
        </w:rPr>
        <w:t>该标段异常信息审核状态。</w:t>
      </w:r>
    </w:p>
    <w:p>
      <w:pPr>
        <w:pStyle w:val="94"/>
        <w:numPr>
          <w:ilvl w:val="0"/>
          <w:numId w:val="15"/>
        </w:numPr>
        <w:ind w:firstLineChars="0"/>
      </w:pPr>
      <w:r>
        <w:rPr>
          <w:rFonts w:hint="eastAsia"/>
        </w:rPr>
        <w:t>编辑状态的异常信息可以删除操作。</w:t>
      </w:r>
    </w:p>
    <w:p>
      <w:pPr>
        <w:pStyle w:val="3"/>
      </w:pPr>
      <w:bookmarkStart w:id="68" w:name="_Toc387137526"/>
      <w:r>
        <w:rPr>
          <w:rFonts w:hint="eastAsia"/>
        </w:rPr>
        <w:t>定标</w:t>
      </w:r>
      <w:bookmarkEnd w:id="68"/>
    </w:p>
    <w:p>
      <w:pPr>
        <w:pStyle w:val="4"/>
      </w:pPr>
      <w:bookmarkStart w:id="69" w:name="_Toc387137527"/>
      <w:r>
        <w:t>中标候选人公示</w:t>
      </w:r>
      <w:bookmarkEnd w:id="69"/>
    </w:p>
    <w:p>
      <w:pPr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报名时间截止、开评标结束。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填写中标候选人公示，提交招标办备案。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1、点击“中标候选人公示”按钮，在点击“新增候选人公示”按钮，如下图：</w:t>
      </w:r>
    </w:p>
    <w:p>
      <w:pPr>
        <w:pStyle w:val="123"/>
      </w:pPr>
      <w:r>
        <w:drawing>
          <wp:inline distT="0" distB="0" distL="114300" distR="114300">
            <wp:extent cx="5268595" cy="2345055"/>
            <wp:effectExtent l="0" t="0" r="8255" b="17145"/>
            <wp:docPr id="13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2、进入挑选标段（包）页面，选择对应标段，点击“确定选择”按钮，如下图：</w:t>
      </w:r>
    </w:p>
    <w:p>
      <w:pPr>
        <w:pStyle w:val="123"/>
      </w:pPr>
      <w:r>
        <w:drawing>
          <wp:inline distT="0" distB="0" distL="0" distR="0">
            <wp:extent cx="5278120" cy="234124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3、进入新增中标候选人公示页面中，通过下拉列表选择中标候选人列表，并设置中标候选人公示信息，如下图：</w:t>
      </w:r>
    </w:p>
    <w:p>
      <w:pPr>
        <w:pStyle w:val="123"/>
      </w:pPr>
      <w:r>
        <w:drawing>
          <wp:inline distT="0" distB="0" distL="0" distR="0">
            <wp:extent cx="5278120" cy="23380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  <w:r>
        <w:rPr>
          <w:rFonts w:hint="eastAsia"/>
        </w:rPr>
        <w:t xml:space="preserve">    4、设置中标候选人公示信息，如下图：</w:t>
      </w:r>
    </w:p>
    <w:p>
      <w:pPr>
        <w:pStyle w:val="123"/>
        <w:ind w:left="630" w:hanging="630" w:hangingChars="300"/>
      </w:pPr>
    </w:p>
    <w:p>
      <w:pPr>
        <w:pStyle w:val="123"/>
        <w:ind w:left="630" w:hanging="630" w:hangingChars="300"/>
      </w:pPr>
      <w:r>
        <w:drawing>
          <wp:inline distT="0" distB="0" distL="0" distR="0">
            <wp:extent cx="5278120" cy="271081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ind w:left="630" w:leftChars="200" w:hanging="210" w:hangingChars="100"/>
      </w:pPr>
      <w:r>
        <w:rPr>
          <w:rFonts w:hint="eastAsia"/>
        </w:rPr>
        <w:t>5、输入完成后，点击“下一步”按钮，再点击“提交审核”按钮提交招标办审核，</w:t>
      </w:r>
    </w:p>
    <w:p>
      <w:pPr>
        <w:pStyle w:val="123"/>
        <w:ind w:left="630" w:hanging="630" w:hangingChars="300"/>
      </w:pPr>
      <w:r>
        <w:rPr>
          <w:rFonts w:hint="eastAsia"/>
        </w:rPr>
        <w:t>如下图：</w:t>
      </w:r>
    </w:p>
    <w:p>
      <w:pPr>
        <w:pStyle w:val="123"/>
        <w:ind w:left="630" w:hanging="630" w:hangingChars="300"/>
      </w:pPr>
      <w:r>
        <w:drawing>
          <wp:inline distT="0" distB="0" distL="0" distR="0">
            <wp:extent cx="5278120" cy="26035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ind w:left="630" w:hanging="630" w:hangingChars="300"/>
      </w:pPr>
    </w:p>
    <w:p>
      <w:pPr>
        <w:pStyle w:val="4"/>
      </w:pPr>
      <w:bookmarkStart w:id="70" w:name="_Toc261428533"/>
      <w:bookmarkStart w:id="71" w:name="_Toc387137528"/>
      <w:r>
        <w:rPr>
          <w:rFonts w:hint="eastAsia"/>
        </w:rPr>
        <w:t>中标结果</w:t>
      </w:r>
      <w:bookmarkEnd w:id="70"/>
      <w:bookmarkStart w:id="72" w:name="_Toc225152743"/>
      <w:r>
        <w:rPr>
          <w:rFonts w:hint="eastAsia"/>
        </w:rPr>
        <w:t>公告</w:t>
      </w:r>
      <w:bookmarkEnd w:id="7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已发布中标公示。</w:t>
      </w:r>
    </w:p>
    <w:p>
      <w:pPr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确定中标单位并网上公示，结果备案招标办审核。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1．点击“中标结果公告”按钮，再点击“新增中标结果”，如下图：</w:t>
      </w:r>
    </w:p>
    <w:p>
      <w:pPr>
        <w:pStyle w:val="123"/>
      </w:pPr>
      <w:r>
        <w:drawing>
          <wp:inline distT="0" distB="0" distL="114300" distR="114300">
            <wp:extent cx="5268595" cy="2322195"/>
            <wp:effectExtent l="0" t="0" r="8255" b="1905"/>
            <wp:docPr id="13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2、进入挑选标段（包）页面，选择一个对应的标段，点击“确定按钮”，如下图：</w:t>
      </w:r>
    </w:p>
    <w:p>
      <w:pPr>
        <w:pStyle w:val="123"/>
      </w:pPr>
      <w:r>
        <w:drawing>
          <wp:inline distT="0" distB="0" distL="0" distR="0">
            <wp:extent cx="5278120" cy="238379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</w:pPr>
      <w:r>
        <w:t xml:space="preserve">  3、进入新增中标结果公告页面，填写中标结果信息及公告信息，如下图：</w:t>
      </w:r>
    </w:p>
    <w:p>
      <w:pPr>
        <w:pStyle w:val="123"/>
      </w:pPr>
      <w:r>
        <w:drawing>
          <wp:inline distT="0" distB="0" distL="0" distR="0">
            <wp:extent cx="5278120" cy="233362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4、点击中标结果信息中的“操作”按钮，进入新增中标单位页面，如下图：</w:t>
      </w:r>
    </w:p>
    <w:p>
      <w:pPr>
        <w:pStyle w:val="123"/>
      </w:pPr>
      <w:r>
        <w:drawing>
          <wp:inline distT="0" distB="0" distL="0" distR="0">
            <wp:extent cx="5278120" cy="254825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5、勾选“是否多中标单位”：勾选表示允许新增多个中标单位；不勾选只能选择一个中标单位，如下图：</w:t>
      </w:r>
    </w:p>
    <w:p>
      <w:pPr>
        <w:ind w:firstLine="0" w:firstLineChars="0"/>
      </w:pPr>
      <w:r>
        <w:drawing>
          <wp:inline distT="0" distB="0" distL="0" distR="0">
            <wp:extent cx="5278120" cy="240474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 xml:space="preserve">  6、不</w:t>
      </w:r>
      <w:r>
        <w:rPr>
          <w:rFonts w:hint="eastAsia"/>
        </w:rPr>
        <w:t>勾选“是否多中标单位”，点击中标单位名称及项目负责人“检索”按钮，如下图：</w:t>
      </w:r>
    </w:p>
    <w:p>
      <w:pPr>
        <w:ind w:firstLine="0" w:firstLineChars="0"/>
      </w:pPr>
      <w:r>
        <w:drawing>
          <wp:inline distT="0" distB="0" distL="0" distR="0">
            <wp:extent cx="5278120" cy="268478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7、</w:t>
      </w:r>
      <w:r>
        <w:t>进入选择中标单位页面，点击</w:t>
      </w:r>
      <w:r>
        <w:rPr>
          <w:rFonts w:hint="eastAsia"/>
        </w:rPr>
        <w:t>“选择”按钮，如下图：</w:t>
      </w:r>
    </w:p>
    <w:p>
      <w:pPr>
        <w:ind w:firstLine="0" w:firstLineChars="0"/>
      </w:pPr>
      <w:r>
        <w:drawing>
          <wp:inline distT="0" distB="0" distL="0" distR="0">
            <wp:extent cx="5278120" cy="245364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选择后，在中标结果公告页面，点击“修改保存”，保存录入中标单位信息，如下</w:t>
      </w:r>
    </w:p>
    <w:p>
      <w:pPr>
        <w:ind w:firstLine="0" w:firstLineChars="0"/>
      </w:pPr>
      <w:r>
        <w:rPr>
          <w:rFonts w:hint="eastAsia"/>
        </w:rPr>
        <w:t>图：</w:t>
      </w:r>
    </w:p>
    <w:p>
      <w:pPr>
        <w:ind w:firstLine="0" w:firstLineChars="0"/>
      </w:pPr>
      <w:r>
        <w:drawing>
          <wp:inline distT="0" distB="0" distL="0" distR="0">
            <wp:extent cx="5278120" cy="241871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9、</w:t>
      </w:r>
      <w:r>
        <w:t>勾选多中标单位：一个标段可新增多个中标单位，点击</w:t>
      </w:r>
      <w:r>
        <w:rPr>
          <w:rFonts w:hint="eastAsia"/>
        </w:rPr>
        <w:t>“</w:t>
      </w:r>
      <w:r>
        <w:t>新增单位</w:t>
      </w:r>
      <w:r>
        <w:rPr>
          <w:rFonts w:hint="eastAsia"/>
        </w:rPr>
        <w:t>”按钮</w:t>
      </w:r>
      <w:r>
        <w:t>，如下图：</w:t>
      </w:r>
    </w:p>
    <w:p>
      <w:pPr>
        <w:ind w:firstLine="0" w:firstLineChars="0"/>
      </w:pPr>
      <w:r>
        <w:drawing>
          <wp:inline distT="0" distB="0" distL="0" distR="0">
            <wp:extent cx="5278120" cy="263398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10、</w:t>
      </w:r>
      <w:r>
        <w:rPr>
          <w:rFonts w:hint="eastAsia"/>
        </w:rPr>
        <w:t>进入新增中标单位页面（操作方法可参考第6、7条），录入完成后修改保存后，可</w:t>
      </w:r>
    </w:p>
    <w:p>
      <w:pPr>
        <w:ind w:firstLine="0" w:firstLineChars="0"/>
      </w:pPr>
      <w:r>
        <w:rPr>
          <w:rFonts w:hint="eastAsia"/>
        </w:rPr>
        <w:t>删除或修改中标单位信息，如下</w:t>
      </w:r>
      <w:bookmarkStart w:id="73" w:name="_GoBack"/>
      <w:bookmarkEnd w:id="73"/>
      <w:r>
        <w:rPr>
          <w:rFonts w:hint="eastAsia"/>
        </w:rPr>
        <w:t>图：</w:t>
      </w:r>
    </w:p>
    <w:p>
      <w:pPr>
        <w:ind w:firstLine="0" w:firstLineChars="0"/>
      </w:pPr>
      <w:r>
        <w:drawing>
          <wp:inline distT="0" distB="0" distL="0" distR="0">
            <wp:extent cx="5278120" cy="269049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4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11、</w:t>
      </w:r>
      <w:r>
        <w:rPr>
          <w:rFonts w:hint="eastAsia"/>
        </w:rPr>
        <w:t>点击“修改保存”按钮，可看到录入的多中标单位信息，点击“操作”按钮，可对</w:t>
      </w:r>
    </w:p>
    <w:p>
      <w:pPr>
        <w:ind w:firstLine="0" w:firstLineChars="0"/>
      </w:pPr>
      <w:r>
        <w:rPr>
          <w:rFonts w:hint="eastAsia"/>
        </w:rPr>
        <w:t>中标单位再修改，如下图：</w:t>
      </w:r>
    </w:p>
    <w:p>
      <w:pPr>
        <w:ind w:firstLine="0" w:firstLineChars="0"/>
      </w:pPr>
      <w:r>
        <w:drawing>
          <wp:inline distT="0" distB="0" distL="0" distR="0">
            <wp:extent cx="5278120" cy="248666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点击中标单位名称，可以查看单位信息。</w:t>
      </w:r>
    </w:p>
    <w:p>
      <w:pPr>
        <w:pStyle w:val="94"/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12、</w:t>
      </w:r>
      <w:r>
        <w:rPr>
          <w:rFonts w:hint="eastAsia"/>
        </w:rPr>
        <w:t>中标单位录入完成后，设置公告信息，再点击“下一步”按钮，上传中标结果公告</w:t>
      </w:r>
    </w:p>
    <w:p>
      <w:pPr>
        <w:ind w:firstLine="0" w:firstLineChars="0"/>
      </w:pPr>
      <w:r>
        <w:rPr>
          <w:rFonts w:hint="eastAsia"/>
        </w:rPr>
        <w:t>并签章，最后提交招标办审核，如下图：</w:t>
      </w:r>
    </w:p>
    <w:p>
      <w:pPr>
        <w:ind w:firstLine="0" w:firstLineChars="0"/>
      </w:pPr>
      <w:r>
        <w:drawing>
          <wp:inline distT="0" distB="0" distL="0" distR="0">
            <wp:extent cx="5278120" cy="246761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bookmarkEnd w:id="72"/>
    <w:p>
      <w:pPr>
        <w:ind w:firstLine="0" w:firstLineChars="0"/>
        <w:rPr>
          <w:color w:val="FF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top w:val="single" w:color="9BBB59" w:themeColor="accent3" w:sz="24" w:space="5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江苏国泰新点软件有限公司  4009980000  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20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107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0" distR="0">
          <wp:extent cx="600075" cy="304800"/>
          <wp:effectExtent l="19050" t="0" r="9525" b="0"/>
          <wp:docPr id="2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Theme="minorEastAsia" w:hAnsiTheme="minorEastAsia" w:eastAsiaTheme="minorEastAsia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-ZBDL001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83C51"/>
    <w:multiLevelType w:val="multilevel"/>
    <w:tmpl w:val="16783C5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E6A7C77"/>
    <w:multiLevelType w:val="multilevel"/>
    <w:tmpl w:val="1E6A7C77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abstractNum w:abstractNumId="2">
    <w:nsid w:val="1EA83FD3"/>
    <w:multiLevelType w:val="multilevel"/>
    <w:tmpl w:val="1EA83FD3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FC49C1"/>
    <w:multiLevelType w:val="multilevel"/>
    <w:tmpl w:val="22FC49C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F4910B4"/>
    <w:multiLevelType w:val="multilevel"/>
    <w:tmpl w:val="3F4910B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3FD7E83"/>
    <w:multiLevelType w:val="multilevel"/>
    <w:tmpl w:val="43FD7E83"/>
    <w:lvl w:ilvl="0" w:tentative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6E00CDF"/>
    <w:multiLevelType w:val="multilevel"/>
    <w:tmpl w:val="56E00CDF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AB1CE5F"/>
    <w:multiLevelType w:val="singleLevel"/>
    <w:tmpl w:val="5AB1CE5F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9">
    <w:nsid w:val="684E5133"/>
    <w:multiLevelType w:val="multilevel"/>
    <w:tmpl w:val="684E513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C387864"/>
    <w:multiLevelType w:val="multilevel"/>
    <w:tmpl w:val="6C387864"/>
    <w:lvl w:ilvl="0" w:tentative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1">
    <w:nsid w:val="6DEF3768"/>
    <w:multiLevelType w:val="multilevel"/>
    <w:tmpl w:val="6DEF376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6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76827C8"/>
    <w:multiLevelType w:val="multilevel"/>
    <w:tmpl w:val="776827C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D7C51EC"/>
    <w:multiLevelType w:val="multilevel"/>
    <w:tmpl w:val="7D7C51E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F176735"/>
    <w:multiLevelType w:val="multilevel"/>
    <w:tmpl w:val="7F176735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13"/>
  </w:num>
  <w:num w:numId="6">
    <w:abstractNumId w:val="3"/>
  </w:num>
  <w:num w:numId="7">
    <w:abstractNumId w:val="1"/>
  </w:num>
  <w:num w:numId="8">
    <w:abstractNumId w:val="11"/>
  </w:num>
  <w:num w:numId="9">
    <w:abstractNumId w:val="0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3C4A"/>
    <w:rsid w:val="00003E33"/>
    <w:rsid w:val="000051C4"/>
    <w:rsid w:val="00010A67"/>
    <w:rsid w:val="000122CF"/>
    <w:rsid w:val="00040E53"/>
    <w:rsid w:val="00041AB0"/>
    <w:rsid w:val="0004489F"/>
    <w:rsid w:val="00061DFC"/>
    <w:rsid w:val="000645B8"/>
    <w:rsid w:val="00064D2E"/>
    <w:rsid w:val="0006544D"/>
    <w:rsid w:val="00072679"/>
    <w:rsid w:val="00073174"/>
    <w:rsid w:val="00074438"/>
    <w:rsid w:val="00084F43"/>
    <w:rsid w:val="00090143"/>
    <w:rsid w:val="000968A0"/>
    <w:rsid w:val="000A3B01"/>
    <w:rsid w:val="000A46DF"/>
    <w:rsid w:val="000B12F3"/>
    <w:rsid w:val="000B311C"/>
    <w:rsid w:val="000B32FB"/>
    <w:rsid w:val="000B5EF4"/>
    <w:rsid w:val="000B737B"/>
    <w:rsid w:val="000C0710"/>
    <w:rsid w:val="000C2223"/>
    <w:rsid w:val="000C2902"/>
    <w:rsid w:val="000D1026"/>
    <w:rsid w:val="000D3402"/>
    <w:rsid w:val="000D4585"/>
    <w:rsid w:val="000E3832"/>
    <w:rsid w:val="000E63A2"/>
    <w:rsid w:val="000F0BAA"/>
    <w:rsid w:val="000F28D2"/>
    <w:rsid w:val="001023AD"/>
    <w:rsid w:val="00117248"/>
    <w:rsid w:val="00133015"/>
    <w:rsid w:val="00135E04"/>
    <w:rsid w:val="00137881"/>
    <w:rsid w:val="00140698"/>
    <w:rsid w:val="00142236"/>
    <w:rsid w:val="0015148A"/>
    <w:rsid w:val="00151DF9"/>
    <w:rsid w:val="00155DE2"/>
    <w:rsid w:val="00166AF5"/>
    <w:rsid w:val="0016734D"/>
    <w:rsid w:val="00172A27"/>
    <w:rsid w:val="001754C3"/>
    <w:rsid w:val="00182E5C"/>
    <w:rsid w:val="00185ED5"/>
    <w:rsid w:val="001958B9"/>
    <w:rsid w:val="001A775D"/>
    <w:rsid w:val="001B44AC"/>
    <w:rsid w:val="001B7A73"/>
    <w:rsid w:val="001C180E"/>
    <w:rsid w:val="001C46F8"/>
    <w:rsid w:val="001C655F"/>
    <w:rsid w:val="001C7948"/>
    <w:rsid w:val="001D0AAD"/>
    <w:rsid w:val="001D6101"/>
    <w:rsid w:val="001E0D15"/>
    <w:rsid w:val="001E56B6"/>
    <w:rsid w:val="001E6A6A"/>
    <w:rsid w:val="001E7651"/>
    <w:rsid w:val="001F1DE9"/>
    <w:rsid w:val="00207822"/>
    <w:rsid w:val="00207BC0"/>
    <w:rsid w:val="0021022F"/>
    <w:rsid w:val="00223B89"/>
    <w:rsid w:val="00231D51"/>
    <w:rsid w:val="00236378"/>
    <w:rsid w:val="002424AB"/>
    <w:rsid w:val="0024275E"/>
    <w:rsid w:val="002428C3"/>
    <w:rsid w:val="00250197"/>
    <w:rsid w:val="00252043"/>
    <w:rsid w:val="00252F7C"/>
    <w:rsid w:val="00261849"/>
    <w:rsid w:val="0026590A"/>
    <w:rsid w:val="00270892"/>
    <w:rsid w:val="002708FB"/>
    <w:rsid w:val="00273E33"/>
    <w:rsid w:val="00275C6C"/>
    <w:rsid w:val="00276B49"/>
    <w:rsid w:val="002824F5"/>
    <w:rsid w:val="00287273"/>
    <w:rsid w:val="00295AA7"/>
    <w:rsid w:val="00297A09"/>
    <w:rsid w:val="002A0301"/>
    <w:rsid w:val="002A14F0"/>
    <w:rsid w:val="002B0BDA"/>
    <w:rsid w:val="002B32B8"/>
    <w:rsid w:val="002C3799"/>
    <w:rsid w:val="002C5148"/>
    <w:rsid w:val="002D1B92"/>
    <w:rsid w:val="002D3202"/>
    <w:rsid w:val="002D5D9E"/>
    <w:rsid w:val="002E2A29"/>
    <w:rsid w:val="002E391F"/>
    <w:rsid w:val="002E4A0E"/>
    <w:rsid w:val="0030697B"/>
    <w:rsid w:val="0031027C"/>
    <w:rsid w:val="00313AB2"/>
    <w:rsid w:val="00313B3F"/>
    <w:rsid w:val="00323499"/>
    <w:rsid w:val="00323B35"/>
    <w:rsid w:val="003255B7"/>
    <w:rsid w:val="003408F4"/>
    <w:rsid w:val="00350CE0"/>
    <w:rsid w:val="00364DE9"/>
    <w:rsid w:val="0036549A"/>
    <w:rsid w:val="0036705C"/>
    <w:rsid w:val="003707A0"/>
    <w:rsid w:val="003800F8"/>
    <w:rsid w:val="00380D32"/>
    <w:rsid w:val="003855CD"/>
    <w:rsid w:val="00386D3D"/>
    <w:rsid w:val="00393793"/>
    <w:rsid w:val="00394370"/>
    <w:rsid w:val="00396EC3"/>
    <w:rsid w:val="003A19FF"/>
    <w:rsid w:val="003B793C"/>
    <w:rsid w:val="003C2240"/>
    <w:rsid w:val="003C5FB0"/>
    <w:rsid w:val="003C6A4A"/>
    <w:rsid w:val="003E1122"/>
    <w:rsid w:val="003F200D"/>
    <w:rsid w:val="003F3C47"/>
    <w:rsid w:val="004054A4"/>
    <w:rsid w:val="00407C8E"/>
    <w:rsid w:val="00415747"/>
    <w:rsid w:val="0041672D"/>
    <w:rsid w:val="00417BA5"/>
    <w:rsid w:val="00423A0D"/>
    <w:rsid w:val="00442393"/>
    <w:rsid w:val="0045563B"/>
    <w:rsid w:val="0046464A"/>
    <w:rsid w:val="00465906"/>
    <w:rsid w:val="00471C33"/>
    <w:rsid w:val="004820F9"/>
    <w:rsid w:val="004862CA"/>
    <w:rsid w:val="00497C27"/>
    <w:rsid w:val="004A10D0"/>
    <w:rsid w:val="004A38AE"/>
    <w:rsid w:val="004A6035"/>
    <w:rsid w:val="004C60F3"/>
    <w:rsid w:val="004D1AA1"/>
    <w:rsid w:val="004D3F16"/>
    <w:rsid w:val="004D4660"/>
    <w:rsid w:val="004E42D4"/>
    <w:rsid w:val="00504692"/>
    <w:rsid w:val="00506D4A"/>
    <w:rsid w:val="00517FA1"/>
    <w:rsid w:val="0052192D"/>
    <w:rsid w:val="00522F2E"/>
    <w:rsid w:val="00524DA0"/>
    <w:rsid w:val="00534189"/>
    <w:rsid w:val="00534F00"/>
    <w:rsid w:val="00542BE9"/>
    <w:rsid w:val="00544B32"/>
    <w:rsid w:val="005546C3"/>
    <w:rsid w:val="005618C6"/>
    <w:rsid w:val="00564B37"/>
    <w:rsid w:val="00575C83"/>
    <w:rsid w:val="00576008"/>
    <w:rsid w:val="00590E6C"/>
    <w:rsid w:val="005960ED"/>
    <w:rsid w:val="005B096E"/>
    <w:rsid w:val="005B19F7"/>
    <w:rsid w:val="005B2CC8"/>
    <w:rsid w:val="005B2E28"/>
    <w:rsid w:val="005C167E"/>
    <w:rsid w:val="005C1A2F"/>
    <w:rsid w:val="005C42B6"/>
    <w:rsid w:val="005C57BF"/>
    <w:rsid w:val="005D0BC5"/>
    <w:rsid w:val="005D1A98"/>
    <w:rsid w:val="005D5CB4"/>
    <w:rsid w:val="005E53B4"/>
    <w:rsid w:val="005F0374"/>
    <w:rsid w:val="00602E9D"/>
    <w:rsid w:val="006031A7"/>
    <w:rsid w:val="00603935"/>
    <w:rsid w:val="00604F9C"/>
    <w:rsid w:val="006151B6"/>
    <w:rsid w:val="0062413B"/>
    <w:rsid w:val="006325C3"/>
    <w:rsid w:val="00632724"/>
    <w:rsid w:val="00635BF8"/>
    <w:rsid w:val="006407E5"/>
    <w:rsid w:val="00641BC9"/>
    <w:rsid w:val="006501DC"/>
    <w:rsid w:val="0065481D"/>
    <w:rsid w:val="00670BB5"/>
    <w:rsid w:val="00672F0B"/>
    <w:rsid w:val="0067554B"/>
    <w:rsid w:val="00683559"/>
    <w:rsid w:val="0068430A"/>
    <w:rsid w:val="00684DD7"/>
    <w:rsid w:val="00685834"/>
    <w:rsid w:val="00687EF8"/>
    <w:rsid w:val="00694466"/>
    <w:rsid w:val="00697995"/>
    <w:rsid w:val="006A6590"/>
    <w:rsid w:val="006B75A2"/>
    <w:rsid w:val="006C0914"/>
    <w:rsid w:val="006C1C93"/>
    <w:rsid w:val="006C50FA"/>
    <w:rsid w:val="006E4EF1"/>
    <w:rsid w:val="006F15DA"/>
    <w:rsid w:val="006F1832"/>
    <w:rsid w:val="006F19FB"/>
    <w:rsid w:val="006F499B"/>
    <w:rsid w:val="007051E5"/>
    <w:rsid w:val="0070576B"/>
    <w:rsid w:val="0071098F"/>
    <w:rsid w:val="00711005"/>
    <w:rsid w:val="00714A78"/>
    <w:rsid w:val="00714A9F"/>
    <w:rsid w:val="00724B37"/>
    <w:rsid w:val="00727D93"/>
    <w:rsid w:val="00730F40"/>
    <w:rsid w:val="0075084A"/>
    <w:rsid w:val="00751665"/>
    <w:rsid w:val="0075691D"/>
    <w:rsid w:val="00760788"/>
    <w:rsid w:val="00760E9D"/>
    <w:rsid w:val="00760F9B"/>
    <w:rsid w:val="00761873"/>
    <w:rsid w:val="00766BA3"/>
    <w:rsid w:val="00766D24"/>
    <w:rsid w:val="00772565"/>
    <w:rsid w:val="00774B91"/>
    <w:rsid w:val="007836E8"/>
    <w:rsid w:val="0079048A"/>
    <w:rsid w:val="0079493E"/>
    <w:rsid w:val="007A13FC"/>
    <w:rsid w:val="007A2EE8"/>
    <w:rsid w:val="007A46F5"/>
    <w:rsid w:val="007B44DC"/>
    <w:rsid w:val="007C2BBB"/>
    <w:rsid w:val="007C79FF"/>
    <w:rsid w:val="007E49C3"/>
    <w:rsid w:val="007E6ED0"/>
    <w:rsid w:val="00800803"/>
    <w:rsid w:val="00831DF1"/>
    <w:rsid w:val="008400C5"/>
    <w:rsid w:val="00840545"/>
    <w:rsid w:val="00841F17"/>
    <w:rsid w:val="008431D3"/>
    <w:rsid w:val="00843D83"/>
    <w:rsid w:val="008540EB"/>
    <w:rsid w:val="00855A71"/>
    <w:rsid w:val="00856CB7"/>
    <w:rsid w:val="00861BC7"/>
    <w:rsid w:val="00861D1E"/>
    <w:rsid w:val="00866A2E"/>
    <w:rsid w:val="00866B16"/>
    <w:rsid w:val="0087387F"/>
    <w:rsid w:val="00873D34"/>
    <w:rsid w:val="00874D5A"/>
    <w:rsid w:val="00876696"/>
    <w:rsid w:val="008808AD"/>
    <w:rsid w:val="0089091C"/>
    <w:rsid w:val="00890984"/>
    <w:rsid w:val="00893D96"/>
    <w:rsid w:val="008A00A0"/>
    <w:rsid w:val="008A03EC"/>
    <w:rsid w:val="008A3114"/>
    <w:rsid w:val="008B3C0E"/>
    <w:rsid w:val="008B454F"/>
    <w:rsid w:val="008B522A"/>
    <w:rsid w:val="008C4232"/>
    <w:rsid w:val="008D1D88"/>
    <w:rsid w:val="008D34AB"/>
    <w:rsid w:val="008D36ED"/>
    <w:rsid w:val="008E0CB5"/>
    <w:rsid w:val="008E3617"/>
    <w:rsid w:val="008E7097"/>
    <w:rsid w:val="008F2793"/>
    <w:rsid w:val="008F69C2"/>
    <w:rsid w:val="009054D7"/>
    <w:rsid w:val="0091102F"/>
    <w:rsid w:val="00914997"/>
    <w:rsid w:val="009253C9"/>
    <w:rsid w:val="00932720"/>
    <w:rsid w:val="00934291"/>
    <w:rsid w:val="00935B76"/>
    <w:rsid w:val="00936583"/>
    <w:rsid w:val="00936D4F"/>
    <w:rsid w:val="00950E93"/>
    <w:rsid w:val="00953BD3"/>
    <w:rsid w:val="009578E5"/>
    <w:rsid w:val="00957E7F"/>
    <w:rsid w:val="0096110F"/>
    <w:rsid w:val="00961AE9"/>
    <w:rsid w:val="00963AA5"/>
    <w:rsid w:val="00964077"/>
    <w:rsid w:val="0097094A"/>
    <w:rsid w:val="0097496E"/>
    <w:rsid w:val="00980596"/>
    <w:rsid w:val="00984AF6"/>
    <w:rsid w:val="009864B2"/>
    <w:rsid w:val="009931BC"/>
    <w:rsid w:val="00995451"/>
    <w:rsid w:val="00997687"/>
    <w:rsid w:val="009A060A"/>
    <w:rsid w:val="009B30F3"/>
    <w:rsid w:val="009B43D6"/>
    <w:rsid w:val="009C1679"/>
    <w:rsid w:val="009C6468"/>
    <w:rsid w:val="009D1D1E"/>
    <w:rsid w:val="009D4C75"/>
    <w:rsid w:val="009D73B0"/>
    <w:rsid w:val="009E3A4C"/>
    <w:rsid w:val="009F0EA4"/>
    <w:rsid w:val="009F0FB9"/>
    <w:rsid w:val="009F13B2"/>
    <w:rsid w:val="009F333F"/>
    <w:rsid w:val="009F5C91"/>
    <w:rsid w:val="009F5CC8"/>
    <w:rsid w:val="009F5E06"/>
    <w:rsid w:val="00A13370"/>
    <w:rsid w:val="00A15EBD"/>
    <w:rsid w:val="00A17153"/>
    <w:rsid w:val="00A24644"/>
    <w:rsid w:val="00A26904"/>
    <w:rsid w:val="00A27CD0"/>
    <w:rsid w:val="00A30008"/>
    <w:rsid w:val="00A30D2E"/>
    <w:rsid w:val="00A401CA"/>
    <w:rsid w:val="00A52BB9"/>
    <w:rsid w:val="00A66260"/>
    <w:rsid w:val="00A6655E"/>
    <w:rsid w:val="00A744C9"/>
    <w:rsid w:val="00A76255"/>
    <w:rsid w:val="00A83ED7"/>
    <w:rsid w:val="00A84055"/>
    <w:rsid w:val="00A86EAA"/>
    <w:rsid w:val="00AA3E23"/>
    <w:rsid w:val="00AB554D"/>
    <w:rsid w:val="00AC52B0"/>
    <w:rsid w:val="00AE60FE"/>
    <w:rsid w:val="00B0355F"/>
    <w:rsid w:val="00B05A28"/>
    <w:rsid w:val="00B0789F"/>
    <w:rsid w:val="00B11C04"/>
    <w:rsid w:val="00B13C02"/>
    <w:rsid w:val="00B16C20"/>
    <w:rsid w:val="00B26637"/>
    <w:rsid w:val="00B32AB9"/>
    <w:rsid w:val="00B458FC"/>
    <w:rsid w:val="00B45C5C"/>
    <w:rsid w:val="00B52310"/>
    <w:rsid w:val="00B52793"/>
    <w:rsid w:val="00B6255F"/>
    <w:rsid w:val="00B637B8"/>
    <w:rsid w:val="00B7505C"/>
    <w:rsid w:val="00B80318"/>
    <w:rsid w:val="00B82E51"/>
    <w:rsid w:val="00B85192"/>
    <w:rsid w:val="00B931F3"/>
    <w:rsid w:val="00B9696D"/>
    <w:rsid w:val="00BA1776"/>
    <w:rsid w:val="00BB1103"/>
    <w:rsid w:val="00BB2388"/>
    <w:rsid w:val="00BB2536"/>
    <w:rsid w:val="00BB571E"/>
    <w:rsid w:val="00BB719E"/>
    <w:rsid w:val="00BC620B"/>
    <w:rsid w:val="00BD1000"/>
    <w:rsid w:val="00BD5854"/>
    <w:rsid w:val="00BE225B"/>
    <w:rsid w:val="00BE3D32"/>
    <w:rsid w:val="00BE4866"/>
    <w:rsid w:val="00BE55F3"/>
    <w:rsid w:val="00BF2C31"/>
    <w:rsid w:val="00C01C42"/>
    <w:rsid w:val="00C03454"/>
    <w:rsid w:val="00C067F7"/>
    <w:rsid w:val="00C121FB"/>
    <w:rsid w:val="00C20C37"/>
    <w:rsid w:val="00C25095"/>
    <w:rsid w:val="00C25D2A"/>
    <w:rsid w:val="00C27A19"/>
    <w:rsid w:val="00C34298"/>
    <w:rsid w:val="00C42248"/>
    <w:rsid w:val="00C5737F"/>
    <w:rsid w:val="00C75090"/>
    <w:rsid w:val="00C91080"/>
    <w:rsid w:val="00CA6383"/>
    <w:rsid w:val="00CC0ED0"/>
    <w:rsid w:val="00CD29DD"/>
    <w:rsid w:val="00CE254E"/>
    <w:rsid w:val="00CE365A"/>
    <w:rsid w:val="00CE3680"/>
    <w:rsid w:val="00CE3F4A"/>
    <w:rsid w:val="00CF0A48"/>
    <w:rsid w:val="00CF4447"/>
    <w:rsid w:val="00CF6880"/>
    <w:rsid w:val="00CF718D"/>
    <w:rsid w:val="00D1281E"/>
    <w:rsid w:val="00D21048"/>
    <w:rsid w:val="00D25784"/>
    <w:rsid w:val="00D260E1"/>
    <w:rsid w:val="00D466D1"/>
    <w:rsid w:val="00D63982"/>
    <w:rsid w:val="00D67D17"/>
    <w:rsid w:val="00D73A43"/>
    <w:rsid w:val="00D7690D"/>
    <w:rsid w:val="00D800AD"/>
    <w:rsid w:val="00D80B20"/>
    <w:rsid w:val="00D86770"/>
    <w:rsid w:val="00D94B95"/>
    <w:rsid w:val="00DA7EC2"/>
    <w:rsid w:val="00DB4D71"/>
    <w:rsid w:val="00DB6597"/>
    <w:rsid w:val="00DB6A4B"/>
    <w:rsid w:val="00DD6E36"/>
    <w:rsid w:val="00DF2C85"/>
    <w:rsid w:val="00DF600A"/>
    <w:rsid w:val="00E03AE3"/>
    <w:rsid w:val="00E06C6D"/>
    <w:rsid w:val="00E072E3"/>
    <w:rsid w:val="00E33E5A"/>
    <w:rsid w:val="00E43557"/>
    <w:rsid w:val="00E508E9"/>
    <w:rsid w:val="00E511A9"/>
    <w:rsid w:val="00E54E77"/>
    <w:rsid w:val="00E60227"/>
    <w:rsid w:val="00E64435"/>
    <w:rsid w:val="00E71A49"/>
    <w:rsid w:val="00E74B7C"/>
    <w:rsid w:val="00E74C3B"/>
    <w:rsid w:val="00E770D8"/>
    <w:rsid w:val="00E847E2"/>
    <w:rsid w:val="00E86D3E"/>
    <w:rsid w:val="00E87118"/>
    <w:rsid w:val="00E93744"/>
    <w:rsid w:val="00E948F6"/>
    <w:rsid w:val="00EA5DBC"/>
    <w:rsid w:val="00EC2284"/>
    <w:rsid w:val="00EC6036"/>
    <w:rsid w:val="00ED2950"/>
    <w:rsid w:val="00EE0575"/>
    <w:rsid w:val="00EE2A58"/>
    <w:rsid w:val="00EE2C1A"/>
    <w:rsid w:val="00EE2F92"/>
    <w:rsid w:val="00EE5373"/>
    <w:rsid w:val="00EE7D31"/>
    <w:rsid w:val="00EF3030"/>
    <w:rsid w:val="00EF51B7"/>
    <w:rsid w:val="00EF528F"/>
    <w:rsid w:val="00F03084"/>
    <w:rsid w:val="00F10832"/>
    <w:rsid w:val="00F109AA"/>
    <w:rsid w:val="00F1377F"/>
    <w:rsid w:val="00F14D77"/>
    <w:rsid w:val="00F2157D"/>
    <w:rsid w:val="00F22B1A"/>
    <w:rsid w:val="00F22CE4"/>
    <w:rsid w:val="00F23EA5"/>
    <w:rsid w:val="00F320D7"/>
    <w:rsid w:val="00F3685D"/>
    <w:rsid w:val="00F4188D"/>
    <w:rsid w:val="00F43034"/>
    <w:rsid w:val="00F46741"/>
    <w:rsid w:val="00F604D2"/>
    <w:rsid w:val="00F6402B"/>
    <w:rsid w:val="00F65B7F"/>
    <w:rsid w:val="00F72CB6"/>
    <w:rsid w:val="00F74424"/>
    <w:rsid w:val="00F74496"/>
    <w:rsid w:val="00F75F4E"/>
    <w:rsid w:val="00F86BDD"/>
    <w:rsid w:val="00F97C85"/>
    <w:rsid w:val="00FA4E4E"/>
    <w:rsid w:val="00FA50FB"/>
    <w:rsid w:val="00FA61E6"/>
    <w:rsid w:val="00FB0D76"/>
    <w:rsid w:val="00FB59EA"/>
    <w:rsid w:val="00FC6F29"/>
    <w:rsid w:val="00FD3DCE"/>
    <w:rsid w:val="00FD4F0C"/>
    <w:rsid w:val="00FE389F"/>
    <w:rsid w:val="00FE6CFC"/>
    <w:rsid w:val="00FE7A09"/>
    <w:rsid w:val="00FF1FC5"/>
    <w:rsid w:val="00FF4CBD"/>
    <w:rsid w:val="02144524"/>
    <w:rsid w:val="05F20FDD"/>
    <w:rsid w:val="06FC3A68"/>
    <w:rsid w:val="1D750504"/>
    <w:rsid w:val="25112FBB"/>
    <w:rsid w:val="402C7D0F"/>
    <w:rsid w:val="41A4452A"/>
    <w:rsid w:val="6418358F"/>
    <w:rsid w:val="757460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5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9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60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48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0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2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53"/>
    <w:qFormat/>
    <w:uiPriority w:val="0"/>
    <w:pPr>
      <w:numPr>
        <w:ilvl w:val="7"/>
      </w:numPr>
      <w:outlineLvl w:val="7"/>
    </w:pPr>
  </w:style>
  <w:style w:type="paragraph" w:styleId="10">
    <w:name w:val="heading 9"/>
    <w:basedOn w:val="9"/>
    <w:next w:val="1"/>
    <w:link w:val="55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unhideWhenUsed/>
    <w:qFormat/>
    <w:uiPriority w:val="1"/>
  </w:style>
  <w:style w:type="table" w:default="1" w:styleId="4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128"/>
    <w:unhideWhenUsed/>
    <w:qFormat/>
    <w:uiPriority w:val="99"/>
    <w:rPr>
      <w:b/>
      <w:bCs/>
    </w:rPr>
  </w:style>
  <w:style w:type="paragraph" w:styleId="12">
    <w:name w:val="annotation text"/>
    <w:basedOn w:val="1"/>
    <w:link w:val="63"/>
    <w:qFormat/>
    <w:uiPriority w:val="0"/>
  </w:style>
  <w:style w:type="paragraph" w:styleId="13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4">
    <w:name w:val="Body Text First Indent"/>
    <w:basedOn w:val="15"/>
    <w:link w:val="66"/>
    <w:qFormat/>
    <w:uiPriority w:val="0"/>
    <w:pPr>
      <w:ind w:firstLine="100" w:firstLineChars="100"/>
    </w:pPr>
  </w:style>
  <w:style w:type="paragraph" w:styleId="15">
    <w:name w:val="Body Text"/>
    <w:basedOn w:val="1"/>
    <w:link w:val="67"/>
    <w:qFormat/>
    <w:uiPriority w:val="0"/>
    <w:pPr>
      <w:spacing w:after="120"/>
    </w:pPr>
  </w:style>
  <w:style w:type="paragraph" w:styleId="16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7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8">
    <w:name w:val="Document Map"/>
    <w:basedOn w:val="1"/>
    <w:link w:val="71"/>
    <w:qFormat/>
    <w:uiPriority w:val="0"/>
    <w:rPr>
      <w:rFonts w:ascii="宋体"/>
      <w:sz w:val="18"/>
      <w:szCs w:val="18"/>
    </w:rPr>
  </w:style>
  <w:style w:type="paragraph" w:styleId="19">
    <w:name w:val="Body Text 3"/>
    <w:basedOn w:val="1"/>
    <w:link w:val="74"/>
    <w:qFormat/>
    <w:uiPriority w:val="0"/>
    <w:pPr>
      <w:spacing w:after="120"/>
    </w:pPr>
    <w:rPr>
      <w:sz w:val="16"/>
      <w:szCs w:val="16"/>
    </w:rPr>
  </w:style>
  <w:style w:type="paragraph" w:styleId="20">
    <w:name w:val="Body Text Indent"/>
    <w:basedOn w:val="1"/>
    <w:link w:val="57"/>
    <w:qFormat/>
    <w:uiPriority w:val="0"/>
    <w:pPr>
      <w:spacing w:after="120"/>
      <w:ind w:left="420" w:leftChars="200"/>
    </w:pPr>
  </w:style>
  <w:style w:type="paragraph" w:styleId="21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2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3">
    <w:name w:val="Plain Text"/>
    <w:basedOn w:val="1"/>
    <w:link w:val="58"/>
    <w:qFormat/>
    <w:uiPriority w:val="0"/>
    <w:rPr>
      <w:rFonts w:ascii="宋体" w:hAnsi="Courier New"/>
    </w:rPr>
  </w:style>
  <w:style w:type="paragraph" w:styleId="24">
    <w:name w:val="toc 8"/>
    <w:basedOn w:val="1"/>
    <w:next w:val="1"/>
    <w:qFormat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5">
    <w:name w:val="Date"/>
    <w:basedOn w:val="1"/>
    <w:next w:val="1"/>
    <w:link w:val="77"/>
    <w:qFormat/>
    <w:uiPriority w:val="0"/>
    <w:pPr>
      <w:ind w:left="100" w:leftChars="2500"/>
    </w:pPr>
  </w:style>
  <w:style w:type="paragraph" w:styleId="26">
    <w:name w:val="Body Text Indent 2"/>
    <w:basedOn w:val="1"/>
    <w:link w:val="54"/>
    <w:qFormat/>
    <w:uiPriority w:val="0"/>
    <w:pPr>
      <w:spacing w:after="120" w:line="480" w:lineRule="auto"/>
      <w:ind w:left="420" w:leftChars="200"/>
    </w:pPr>
  </w:style>
  <w:style w:type="paragraph" w:styleId="27">
    <w:name w:val="Balloon Text"/>
    <w:basedOn w:val="1"/>
    <w:link w:val="62"/>
    <w:qFormat/>
    <w:uiPriority w:val="0"/>
    <w:rPr>
      <w:sz w:val="18"/>
      <w:szCs w:val="18"/>
    </w:rPr>
  </w:style>
  <w:style w:type="paragraph" w:styleId="28">
    <w:name w:val="footer"/>
    <w:basedOn w:val="1"/>
    <w:link w:val="6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header"/>
    <w:basedOn w:val="1"/>
    <w:link w:val="4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3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2">
    <w:name w:val="index heading"/>
    <w:basedOn w:val="1"/>
    <w:next w:val="33"/>
    <w:qFormat/>
    <w:uiPriority w:val="0"/>
    <w:pPr>
      <w:spacing w:line="300" w:lineRule="auto"/>
    </w:pPr>
    <w:rPr>
      <w:rFonts w:eastAsia="楷体_GB2312"/>
      <w:sz w:val="24"/>
    </w:rPr>
  </w:style>
  <w:style w:type="paragraph" w:styleId="33">
    <w:name w:val="index 1"/>
    <w:basedOn w:val="1"/>
    <w:next w:val="1"/>
    <w:qFormat/>
    <w:uiPriority w:val="0"/>
  </w:style>
  <w:style w:type="paragraph" w:styleId="34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5">
    <w:name w:val="Body Text Indent 3"/>
    <w:basedOn w:val="1"/>
    <w:link w:val="7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6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7">
    <w:name w:val="toc 9"/>
    <w:basedOn w:val="1"/>
    <w:next w:val="1"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8">
    <w:name w:val="Body Text 2"/>
    <w:basedOn w:val="1"/>
    <w:link w:val="75"/>
    <w:qFormat/>
    <w:uiPriority w:val="0"/>
    <w:pPr>
      <w:spacing w:after="120" w:line="480" w:lineRule="auto"/>
    </w:pPr>
  </w:style>
  <w:style w:type="paragraph" w:styleId="39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51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2">
    <w:name w:val="Strong"/>
    <w:basedOn w:val="41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basedOn w:val="41"/>
    <w:qFormat/>
    <w:uiPriority w:val="0"/>
    <w:rPr>
      <w:color w:val="800080"/>
      <w:u w:val="single"/>
    </w:rPr>
  </w:style>
  <w:style w:type="character" w:styleId="45">
    <w:name w:val="Hyperlink"/>
    <w:basedOn w:val="41"/>
    <w:qFormat/>
    <w:uiPriority w:val="99"/>
    <w:rPr>
      <w:color w:val="0000FF"/>
      <w:u w:val="single"/>
    </w:rPr>
  </w:style>
  <w:style w:type="character" w:styleId="46">
    <w:name w:val="annotation reference"/>
    <w:basedOn w:val="41"/>
    <w:qFormat/>
    <w:uiPriority w:val="0"/>
    <w:rPr>
      <w:sz w:val="21"/>
      <w:szCs w:val="21"/>
    </w:rPr>
  </w:style>
  <w:style w:type="character" w:customStyle="1" w:styleId="48">
    <w:name w:val="标题 5 Char"/>
    <w:basedOn w:val="41"/>
    <w:link w:val="6"/>
    <w:qFormat/>
    <w:uiPriority w:val="0"/>
    <w:rPr>
      <w:b/>
      <w:bCs/>
      <w:kern w:val="2"/>
      <w:sz w:val="28"/>
      <w:szCs w:val="28"/>
    </w:rPr>
  </w:style>
  <w:style w:type="character" w:customStyle="1" w:styleId="49">
    <w:name w:val="页眉 Char"/>
    <w:basedOn w:val="41"/>
    <w:link w:val="29"/>
    <w:qFormat/>
    <w:uiPriority w:val="99"/>
    <w:rPr>
      <w:kern w:val="2"/>
      <w:sz w:val="18"/>
      <w:szCs w:val="18"/>
    </w:rPr>
  </w:style>
  <w:style w:type="character" w:customStyle="1" w:styleId="50">
    <w:name w:val="标题 6 Char"/>
    <w:basedOn w:val="41"/>
    <w:link w:val="7"/>
    <w:qFormat/>
    <w:uiPriority w:val="0"/>
    <w:rPr>
      <w:b/>
      <w:bCs/>
      <w:kern w:val="2"/>
      <w:sz w:val="30"/>
      <w:szCs w:val="18"/>
    </w:rPr>
  </w:style>
  <w:style w:type="character" w:customStyle="1" w:styleId="51">
    <w:name w:val="标题 Char"/>
    <w:basedOn w:val="41"/>
    <w:link w:val="40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52">
    <w:name w:val="标题 7 Char"/>
    <w:basedOn w:val="41"/>
    <w:link w:val="8"/>
    <w:qFormat/>
    <w:uiPriority w:val="0"/>
    <w:rPr>
      <w:b/>
      <w:bCs/>
      <w:kern w:val="2"/>
      <w:sz w:val="30"/>
      <w:szCs w:val="18"/>
    </w:rPr>
  </w:style>
  <w:style w:type="character" w:customStyle="1" w:styleId="53">
    <w:name w:val="标题 8 Char"/>
    <w:basedOn w:val="41"/>
    <w:link w:val="9"/>
    <w:qFormat/>
    <w:uiPriority w:val="0"/>
    <w:rPr>
      <w:b/>
      <w:bCs/>
      <w:kern w:val="2"/>
      <w:sz w:val="30"/>
      <w:szCs w:val="18"/>
    </w:rPr>
  </w:style>
  <w:style w:type="character" w:customStyle="1" w:styleId="54">
    <w:name w:val="正文文本缩进 2 Char"/>
    <w:basedOn w:val="41"/>
    <w:link w:val="26"/>
    <w:qFormat/>
    <w:uiPriority w:val="0"/>
    <w:rPr>
      <w:kern w:val="2"/>
      <w:sz w:val="21"/>
      <w:szCs w:val="24"/>
    </w:rPr>
  </w:style>
  <w:style w:type="character" w:customStyle="1" w:styleId="55">
    <w:name w:val="标题 9 Char"/>
    <w:basedOn w:val="41"/>
    <w:link w:val="10"/>
    <w:qFormat/>
    <w:uiPriority w:val="0"/>
    <w:rPr>
      <w:b/>
      <w:bCs/>
      <w:kern w:val="2"/>
      <w:sz w:val="30"/>
      <w:szCs w:val="18"/>
    </w:rPr>
  </w:style>
  <w:style w:type="character" w:customStyle="1" w:styleId="56">
    <w:name w:val="large1"/>
    <w:basedOn w:val="4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57">
    <w:name w:val="正文文本缩进 Char"/>
    <w:basedOn w:val="41"/>
    <w:link w:val="20"/>
    <w:qFormat/>
    <w:uiPriority w:val="0"/>
    <w:rPr>
      <w:kern w:val="2"/>
      <w:sz w:val="21"/>
      <w:szCs w:val="24"/>
    </w:rPr>
  </w:style>
  <w:style w:type="character" w:customStyle="1" w:styleId="58">
    <w:name w:val="纯文本 Char"/>
    <w:basedOn w:val="41"/>
    <w:link w:val="23"/>
    <w:qFormat/>
    <w:uiPriority w:val="0"/>
    <w:rPr>
      <w:rFonts w:ascii="宋体" w:hAnsi="Courier New"/>
      <w:kern w:val="2"/>
      <w:sz w:val="21"/>
    </w:rPr>
  </w:style>
  <w:style w:type="character" w:customStyle="1" w:styleId="59">
    <w:name w:val="标题 2 Char"/>
    <w:basedOn w:val="41"/>
    <w:link w:val="3"/>
    <w:qFormat/>
    <w:uiPriority w:val="0"/>
    <w:rPr>
      <w:b/>
      <w:bCs/>
      <w:kern w:val="2"/>
      <w:sz w:val="30"/>
      <w:szCs w:val="32"/>
    </w:rPr>
  </w:style>
  <w:style w:type="character" w:customStyle="1" w:styleId="60">
    <w:name w:val="标题 3 Char"/>
    <w:basedOn w:val="41"/>
    <w:link w:val="4"/>
    <w:qFormat/>
    <w:uiPriority w:val="0"/>
    <w:rPr>
      <w:b/>
      <w:bCs/>
      <w:kern w:val="2"/>
      <w:sz w:val="28"/>
      <w:szCs w:val="18"/>
    </w:rPr>
  </w:style>
  <w:style w:type="character" w:customStyle="1" w:styleId="61">
    <w:name w:val="页脚 Char"/>
    <w:basedOn w:val="41"/>
    <w:link w:val="28"/>
    <w:qFormat/>
    <w:uiPriority w:val="99"/>
    <w:rPr>
      <w:kern w:val="2"/>
      <w:sz w:val="18"/>
      <w:szCs w:val="18"/>
    </w:rPr>
  </w:style>
  <w:style w:type="character" w:customStyle="1" w:styleId="62">
    <w:name w:val="批注框文本 Char"/>
    <w:basedOn w:val="41"/>
    <w:link w:val="27"/>
    <w:qFormat/>
    <w:uiPriority w:val="0"/>
    <w:rPr>
      <w:kern w:val="2"/>
      <w:sz w:val="18"/>
      <w:szCs w:val="18"/>
    </w:rPr>
  </w:style>
  <w:style w:type="character" w:customStyle="1" w:styleId="63">
    <w:name w:val="批注文字 Char"/>
    <w:basedOn w:val="41"/>
    <w:link w:val="12"/>
    <w:qFormat/>
    <w:uiPriority w:val="0"/>
    <w:rPr>
      <w:kern w:val="2"/>
      <w:sz w:val="21"/>
      <w:szCs w:val="24"/>
    </w:rPr>
  </w:style>
  <w:style w:type="character" w:customStyle="1" w:styleId="64">
    <w:name w:val="14_black1"/>
    <w:basedOn w:val="41"/>
    <w:qFormat/>
    <w:uiPriority w:val="0"/>
    <w:rPr>
      <w:color w:val="000000"/>
      <w:sz w:val="23"/>
      <w:szCs w:val="23"/>
    </w:rPr>
  </w:style>
  <w:style w:type="character" w:customStyle="1" w:styleId="65">
    <w:name w:val="标题 1 Char"/>
    <w:basedOn w:val="41"/>
    <w:link w:val="2"/>
    <w:qFormat/>
    <w:uiPriority w:val="0"/>
    <w:rPr>
      <w:b/>
      <w:bCs/>
      <w:kern w:val="44"/>
      <w:sz w:val="32"/>
      <w:szCs w:val="28"/>
    </w:rPr>
  </w:style>
  <w:style w:type="character" w:customStyle="1" w:styleId="66">
    <w:name w:val="正文首行缩进 Char"/>
    <w:basedOn w:val="67"/>
    <w:link w:val="14"/>
    <w:qFormat/>
    <w:uiPriority w:val="0"/>
    <w:rPr>
      <w:kern w:val="2"/>
      <w:sz w:val="21"/>
      <w:szCs w:val="24"/>
    </w:rPr>
  </w:style>
  <w:style w:type="character" w:customStyle="1" w:styleId="67">
    <w:name w:val="正文文本 Char"/>
    <w:basedOn w:val="41"/>
    <w:link w:val="15"/>
    <w:qFormat/>
    <w:uiPriority w:val="0"/>
    <w:rPr>
      <w:kern w:val="2"/>
      <w:sz w:val="21"/>
      <w:szCs w:val="24"/>
    </w:rPr>
  </w:style>
  <w:style w:type="character" w:customStyle="1" w:styleId="68">
    <w:name w:val="f141"/>
    <w:basedOn w:val="41"/>
    <w:qFormat/>
    <w:uiPriority w:val="0"/>
    <w:rPr>
      <w:sz w:val="21"/>
      <w:szCs w:val="21"/>
    </w:rPr>
  </w:style>
  <w:style w:type="character" w:customStyle="1" w:styleId="69">
    <w:name w:val="标题 4 Char"/>
    <w:basedOn w:val="41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70">
    <w:name w:val="正文文本缩进 3 Char"/>
    <w:basedOn w:val="41"/>
    <w:link w:val="35"/>
    <w:qFormat/>
    <w:uiPriority w:val="0"/>
    <w:rPr>
      <w:kern w:val="2"/>
      <w:sz w:val="16"/>
      <w:szCs w:val="16"/>
    </w:rPr>
  </w:style>
  <w:style w:type="character" w:customStyle="1" w:styleId="71">
    <w:name w:val="文档结构图 Char"/>
    <w:basedOn w:val="41"/>
    <w:link w:val="18"/>
    <w:qFormat/>
    <w:uiPriority w:val="0"/>
    <w:rPr>
      <w:rFonts w:ascii="宋体"/>
      <w:kern w:val="2"/>
      <w:sz w:val="18"/>
      <w:szCs w:val="18"/>
    </w:rPr>
  </w:style>
  <w:style w:type="character" w:customStyle="1" w:styleId="72">
    <w:name w:val="FA正文 Char"/>
    <w:basedOn w:val="41"/>
    <w:link w:val="73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3">
    <w:name w:val="FA正文"/>
    <w:basedOn w:val="1"/>
    <w:link w:val="72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74">
    <w:name w:val="正文文本 3 Char"/>
    <w:basedOn w:val="41"/>
    <w:link w:val="19"/>
    <w:qFormat/>
    <w:uiPriority w:val="0"/>
    <w:rPr>
      <w:kern w:val="2"/>
      <w:sz w:val="16"/>
      <w:szCs w:val="16"/>
    </w:rPr>
  </w:style>
  <w:style w:type="character" w:customStyle="1" w:styleId="75">
    <w:name w:val="正文文本 2 Char"/>
    <w:basedOn w:val="41"/>
    <w:link w:val="38"/>
    <w:qFormat/>
    <w:uiPriority w:val="0"/>
    <w:rPr>
      <w:kern w:val="2"/>
      <w:sz w:val="21"/>
      <w:szCs w:val="24"/>
    </w:rPr>
  </w:style>
  <w:style w:type="character" w:customStyle="1" w:styleId="76">
    <w:name w:val="Indent Normal Char"/>
    <w:basedOn w:val="41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日期 Char"/>
    <w:basedOn w:val="41"/>
    <w:link w:val="25"/>
    <w:qFormat/>
    <w:uiPriority w:val="0"/>
    <w:rPr>
      <w:kern w:val="2"/>
      <w:sz w:val="21"/>
      <w:szCs w:val="24"/>
    </w:rPr>
  </w:style>
  <w:style w:type="character" w:customStyle="1" w:styleId="78">
    <w:name w:val="p11b1"/>
    <w:basedOn w:val="41"/>
    <w:qFormat/>
    <w:uiPriority w:val="0"/>
    <w:rPr>
      <w:color w:val="000000"/>
      <w:spacing w:val="320"/>
      <w:sz w:val="20"/>
      <w:szCs w:val="20"/>
      <w:u w:val="none"/>
    </w:rPr>
  </w:style>
  <w:style w:type="paragraph" w:customStyle="1" w:styleId="7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4">
    <w:name w:val="TOC Heading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8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7">
    <w:name w:val="Char Char Char Char"/>
    <w:basedOn w:val="18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89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1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2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3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styleId="94">
    <w:name w:val="List Paragraph"/>
    <w:basedOn w:val="1"/>
    <w:qFormat/>
    <w:uiPriority w:val="34"/>
  </w:style>
  <w:style w:type="paragraph" w:customStyle="1" w:styleId="95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98">
    <w:name w:val="样式2"/>
    <w:basedOn w:val="1"/>
    <w:link w:val="99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99">
    <w:name w:val="样式2 Char"/>
    <w:basedOn w:val="41"/>
    <w:link w:val="98"/>
    <w:qFormat/>
    <w:uiPriority w:val="0"/>
    <w:rPr>
      <w:b/>
      <w:kern w:val="2"/>
      <w:sz w:val="30"/>
      <w:szCs w:val="24"/>
    </w:rPr>
  </w:style>
  <w:style w:type="paragraph" w:customStyle="1" w:styleId="100">
    <w:name w:val="样式3"/>
    <w:basedOn w:val="29"/>
    <w:link w:val="102"/>
    <w:qFormat/>
    <w:uiPriority w:val="0"/>
    <w:pPr>
      <w:ind w:firstLine="360"/>
    </w:pPr>
  </w:style>
  <w:style w:type="paragraph" w:customStyle="1" w:styleId="101">
    <w:name w:val="样式4"/>
    <w:basedOn w:val="100"/>
    <w:link w:val="104"/>
    <w:qFormat/>
    <w:uiPriority w:val="0"/>
  </w:style>
  <w:style w:type="character" w:customStyle="1" w:styleId="102">
    <w:name w:val="样式3 Char"/>
    <w:basedOn w:val="49"/>
    <w:link w:val="100"/>
    <w:qFormat/>
    <w:uiPriority w:val="0"/>
    <w:rPr>
      <w:kern w:val="2"/>
      <w:sz w:val="18"/>
      <w:szCs w:val="18"/>
    </w:rPr>
  </w:style>
  <w:style w:type="paragraph" w:customStyle="1" w:styleId="103">
    <w:name w:val="样式5"/>
    <w:basedOn w:val="29"/>
    <w:link w:val="106"/>
    <w:qFormat/>
    <w:uiPriority w:val="0"/>
    <w:pPr>
      <w:ind w:firstLine="360"/>
    </w:pPr>
  </w:style>
  <w:style w:type="character" w:customStyle="1" w:styleId="104">
    <w:name w:val="样式4 Char1"/>
    <w:basedOn w:val="102"/>
    <w:link w:val="101"/>
    <w:qFormat/>
    <w:uiPriority w:val="0"/>
    <w:rPr>
      <w:kern w:val="2"/>
      <w:sz w:val="18"/>
      <w:szCs w:val="18"/>
    </w:rPr>
  </w:style>
  <w:style w:type="paragraph" w:customStyle="1" w:styleId="105">
    <w:name w:val="样式6"/>
    <w:basedOn w:val="29"/>
    <w:link w:val="108"/>
    <w:qFormat/>
    <w:uiPriority w:val="0"/>
    <w:pPr>
      <w:ind w:firstLine="360"/>
    </w:pPr>
  </w:style>
  <w:style w:type="character" w:customStyle="1" w:styleId="106">
    <w:name w:val="样式5 Char"/>
    <w:basedOn w:val="49"/>
    <w:link w:val="103"/>
    <w:qFormat/>
    <w:uiPriority w:val="0"/>
    <w:rPr>
      <w:kern w:val="2"/>
      <w:sz w:val="18"/>
      <w:szCs w:val="18"/>
    </w:rPr>
  </w:style>
  <w:style w:type="paragraph" w:customStyle="1" w:styleId="107">
    <w:name w:val="样式7"/>
    <w:basedOn w:val="4"/>
    <w:link w:val="110"/>
    <w:qFormat/>
    <w:uiPriority w:val="0"/>
    <w:pPr>
      <w:jc w:val="both"/>
    </w:pPr>
  </w:style>
  <w:style w:type="character" w:customStyle="1" w:styleId="108">
    <w:name w:val="样式6 Char"/>
    <w:basedOn w:val="49"/>
    <w:link w:val="105"/>
    <w:qFormat/>
    <w:uiPriority w:val="0"/>
    <w:rPr>
      <w:kern w:val="2"/>
      <w:sz w:val="18"/>
      <w:szCs w:val="18"/>
    </w:rPr>
  </w:style>
  <w:style w:type="paragraph" w:customStyle="1" w:styleId="109">
    <w:name w:val="样式8"/>
    <w:basedOn w:val="28"/>
    <w:link w:val="112"/>
    <w:qFormat/>
    <w:uiPriority w:val="0"/>
    <w:pPr>
      <w:ind w:firstLine="0" w:firstLineChars="0"/>
      <w:jc w:val="left"/>
    </w:pPr>
  </w:style>
  <w:style w:type="character" w:customStyle="1" w:styleId="110">
    <w:name w:val="样式7 Char"/>
    <w:basedOn w:val="60"/>
    <w:link w:val="107"/>
    <w:qFormat/>
    <w:uiPriority w:val="0"/>
    <w:rPr>
      <w:kern w:val="2"/>
      <w:sz w:val="28"/>
      <w:szCs w:val="18"/>
    </w:rPr>
  </w:style>
  <w:style w:type="paragraph" w:customStyle="1" w:styleId="111">
    <w:name w:val="样式9"/>
    <w:basedOn w:val="109"/>
    <w:link w:val="114"/>
    <w:qFormat/>
    <w:uiPriority w:val="0"/>
    <w:pPr>
      <w:jc w:val="center"/>
    </w:pPr>
  </w:style>
  <w:style w:type="character" w:customStyle="1" w:styleId="112">
    <w:name w:val="样式8 Char"/>
    <w:basedOn w:val="61"/>
    <w:link w:val="109"/>
    <w:uiPriority w:val="0"/>
    <w:rPr>
      <w:kern w:val="2"/>
      <w:sz w:val="18"/>
      <w:szCs w:val="18"/>
    </w:rPr>
  </w:style>
  <w:style w:type="paragraph" w:customStyle="1" w:styleId="113">
    <w:name w:val="样式10"/>
    <w:basedOn w:val="111"/>
    <w:link w:val="116"/>
    <w:qFormat/>
    <w:uiPriority w:val="0"/>
    <w:pPr>
      <w:pBdr>
        <w:top w:val="single" w:color="76923C" w:themeColor="accent3" w:themeShade="BF" w:sz="24" w:space="1"/>
      </w:pBdr>
    </w:pPr>
  </w:style>
  <w:style w:type="character" w:customStyle="1" w:styleId="114">
    <w:name w:val="样式9 Char"/>
    <w:basedOn w:val="112"/>
    <w:link w:val="111"/>
    <w:qFormat/>
    <w:uiPriority w:val="0"/>
    <w:rPr>
      <w:kern w:val="2"/>
      <w:sz w:val="18"/>
      <w:szCs w:val="18"/>
    </w:rPr>
  </w:style>
  <w:style w:type="paragraph" w:customStyle="1" w:styleId="115">
    <w:name w:val="样式11"/>
    <w:basedOn w:val="113"/>
    <w:link w:val="118"/>
    <w:uiPriority w:val="0"/>
    <w:pPr>
      <w:pBdr>
        <w:top w:val="none" w:color="auto" w:sz="0" w:space="0"/>
      </w:pBdr>
    </w:pPr>
  </w:style>
  <w:style w:type="character" w:customStyle="1" w:styleId="116">
    <w:name w:val="样式10 Char"/>
    <w:basedOn w:val="114"/>
    <w:link w:val="113"/>
    <w:uiPriority w:val="0"/>
    <w:rPr>
      <w:kern w:val="2"/>
      <w:sz w:val="18"/>
      <w:szCs w:val="18"/>
    </w:rPr>
  </w:style>
  <w:style w:type="paragraph" w:customStyle="1" w:styleId="117">
    <w:name w:val="样式12"/>
    <w:basedOn w:val="115"/>
    <w:link w:val="120"/>
    <w:qFormat/>
    <w:uiPriority w:val="0"/>
  </w:style>
  <w:style w:type="character" w:customStyle="1" w:styleId="118">
    <w:name w:val="样式11 Char"/>
    <w:basedOn w:val="116"/>
    <w:link w:val="115"/>
    <w:uiPriority w:val="0"/>
    <w:rPr>
      <w:kern w:val="2"/>
      <w:sz w:val="18"/>
      <w:szCs w:val="18"/>
    </w:rPr>
  </w:style>
  <w:style w:type="paragraph" w:customStyle="1" w:styleId="119">
    <w:name w:val="样式13"/>
    <w:basedOn w:val="107"/>
    <w:link w:val="122"/>
    <w:qFormat/>
    <w:uiPriority w:val="0"/>
  </w:style>
  <w:style w:type="character" w:customStyle="1" w:styleId="120">
    <w:name w:val="样式12 Char"/>
    <w:basedOn w:val="118"/>
    <w:link w:val="117"/>
    <w:qFormat/>
    <w:uiPriority w:val="0"/>
    <w:rPr>
      <w:kern w:val="2"/>
      <w:sz w:val="18"/>
      <w:szCs w:val="18"/>
    </w:rPr>
  </w:style>
  <w:style w:type="paragraph" w:customStyle="1" w:styleId="121">
    <w:name w:val="2"/>
    <w:basedOn w:val="1"/>
    <w:link w:val="124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22">
    <w:name w:val="样式13 Char"/>
    <w:basedOn w:val="110"/>
    <w:link w:val="119"/>
    <w:uiPriority w:val="0"/>
    <w:rPr>
      <w:kern w:val="2"/>
      <w:sz w:val="28"/>
      <w:szCs w:val="18"/>
    </w:rPr>
  </w:style>
  <w:style w:type="paragraph" w:customStyle="1" w:styleId="123">
    <w:name w:val="1"/>
    <w:basedOn w:val="1"/>
    <w:link w:val="125"/>
    <w:qFormat/>
    <w:uiPriority w:val="0"/>
    <w:pPr>
      <w:ind w:firstLine="0" w:firstLineChars="0"/>
    </w:pPr>
  </w:style>
  <w:style w:type="character" w:customStyle="1" w:styleId="124">
    <w:name w:val="2 Char"/>
    <w:basedOn w:val="41"/>
    <w:link w:val="121"/>
    <w:uiPriority w:val="0"/>
    <w:rPr>
      <w:spacing w:val="4"/>
      <w:kern w:val="2"/>
      <w:sz w:val="21"/>
      <w:szCs w:val="24"/>
    </w:rPr>
  </w:style>
  <w:style w:type="character" w:customStyle="1" w:styleId="125">
    <w:name w:val="1 Char"/>
    <w:basedOn w:val="41"/>
    <w:link w:val="123"/>
    <w:qFormat/>
    <w:uiPriority w:val="0"/>
    <w:rPr>
      <w:kern w:val="2"/>
      <w:sz w:val="21"/>
      <w:szCs w:val="24"/>
    </w:rPr>
  </w:style>
  <w:style w:type="paragraph" w:customStyle="1" w:styleId="126">
    <w:name w:val="飞越型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27">
    <w:name w:val="No Spacing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8">
    <w:name w:val="批注主题 Char"/>
    <w:basedOn w:val="63"/>
    <w:link w:val="11"/>
    <w:semiHidden/>
    <w:uiPriority w:val="99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theme" Target="theme/theme1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8" Type="http://schemas.openxmlformats.org/officeDocument/2006/relationships/glossaryDocument" Target="glossary/document.xml"/><Relationship Id="rId127" Type="http://schemas.openxmlformats.org/officeDocument/2006/relationships/fontTable" Target="fontTable.xml"/><Relationship Id="rId126" Type="http://schemas.openxmlformats.org/officeDocument/2006/relationships/customXml" Target="../customXml/item2.xml"/><Relationship Id="rId125" Type="http://schemas.openxmlformats.org/officeDocument/2006/relationships/numbering" Target="numbering.xml"/><Relationship Id="rId124" Type="http://schemas.openxmlformats.org/officeDocument/2006/relationships/customXml" Target="../customXml/item1.xml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E47142489F0349F3BCDDB670B94A6DF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6CA647-AC52-4171-8D6D-72A16F763B73}"/>
      </w:docPartPr>
      <w:docPartBody>
        <w:p>
          <w:pPr>
            <w:pStyle w:val="6"/>
          </w:pPr>
          <w:r>
            <w:rPr>
              <w:i/>
              <w:iCs/>
              <w:color w:val="8B8B8B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181C87"/>
    <w:rsid w:val="002D6D21"/>
    <w:rsid w:val="00301785"/>
    <w:rsid w:val="00361FEF"/>
    <w:rsid w:val="003C29E9"/>
    <w:rsid w:val="003C5C20"/>
    <w:rsid w:val="00412484"/>
    <w:rsid w:val="004200CF"/>
    <w:rsid w:val="00432396"/>
    <w:rsid w:val="00514D06"/>
    <w:rsid w:val="005C1396"/>
    <w:rsid w:val="006C3D75"/>
    <w:rsid w:val="0074084F"/>
    <w:rsid w:val="0083451D"/>
    <w:rsid w:val="008C70E8"/>
    <w:rsid w:val="00915034"/>
    <w:rsid w:val="0097200E"/>
    <w:rsid w:val="009D1895"/>
    <w:rsid w:val="00A40355"/>
    <w:rsid w:val="00A75F42"/>
    <w:rsid w:val="00AA4735"/>
    <w:rsid w:val="00B77465"/>
    <w:rsid w:val="00B94941"/>
    <w:rsid w:val="00BD6264"/>
    <w:rsid w:val="00C02945"/>
    <w:rsid w:val="00C745B4"/>
    <w:rsid w:val="00C90559"/>
    <w:rsid w:val="00CB7909"/>
    <w:rsid w:val="00DC3C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uiPriority="99" w:semiHidden="0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60AA355C53474968A1079506946F9D0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65666CDEECD46E0A32AF1A024E34A3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E47142489F0349F3BCDDB670B94A6DF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2D9542ED36D4EC99D5234FB8490882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563B5EEFCCF4155A3A294D38C37AB3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EA15E4-EC6D-4BDD-8A65-9B656F0E5B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4009980000                   </Company>
  <Pages>1</Pages>
  <Words>3178</Words>
  <Characters>18117</Characters>
  <Lines>150</Lines>
  <Paragraphs>42</Paragraphs>
  <ScaleCrop>false</ScaleCrop>
  <LinksUpToDate>false</LinksUpToDate>
  <CharactersWithSpaces>21253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Diyu Wang</cp:lastModifiedBy>
  <dcterms:modified xsi:type="dcterms:W3CDTF">2018-03-21T03:32:54Z</dcterms:modified>
  <dc:title>_x0001_</dc:title>
  <cp:revision>212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